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617D" w:rsidRDefault="0035617D" w:rsidP="00304B0A">
      <w:pPr>
        <w:spacing w:after="0" w:line="240" w:lineRule="auto"/>
      </w:pPr>
      <w:r>
        <w:rPr>
          <w:noProof/>
        </w:rPr>
        <w:drawing>
          <wp:inline distT="0" distB="0" distL="0" distR="0" wp14:anchorId="0177123B" wp14:editId="5003064C">
            <wp:extent cx="960881" cy="804333"/>
            <wp:effectExtent l="0" t="0" r="4445" b="0"/>
            <wp:docPr id="1027127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881" cy="804333"/>
                    </a:xfrm>
                    <a:prstGeom prst="rect">
                      <a:avLst/>
                    </a:prstGeom>
                  </pic:spPr>
                </pic:pic>
              </a:graphicData>
            </a:graphic>
          </wp:inline>
        </w:drawing>
      </w:r>
    </w:p>
    <w:p w:rsidR="0035617D" w:rsidRDefault="0035617D" w:rsidP="00304B0A">
      <w:pPr>
        <w:spacing w:after="0" w:line="240" w:lineRule="auto"/>
      </w:pPr>
    </w:p>
    <w:p w:rsidR="0035617D" w:rsidRPr="00807160" w:rsidRDefault="0035617D" w:rsidP="00304B0A">
      <w:pPr>
        <w:spacing w:after="0" w:line="240" w:lineRule="auto"/>
      </w:pPr>
      <w:r w:rsidRPr="00807160">
        <w:t>Sarah Wilkinson</w:t>
      </w:r>
    </w:p>
    <w:p w:rsidR="0035617D" w:rsidRPr="00807160" w:rsidRDefault="0035617D" w:rsidP="00304B0A">
      <w:pPr>
        <w:spacing w:after="0" w:line="240" w:lineRule="auto"/>
      </w:pPr>
      <w:r w:rsidRPr="00807160">
        <w:t>Chief Executive</w:t>
      </w:r>
    </w:p>
    <w:p w:rsidR="0035617D" w:rsidRPr="00807160" w:rsidRDefault="0035617D" w:rsidP="00304B0A">
      <w:pPr>
        <w:spacing w:after="0" w:line="240" w:lineRule="auto"/>
      </w:pPr>
      <w:r w:rsidRPr="00807160">
        <w:t>NHS Digital</w:t>
      </w:r>
    </w:p>
    <w:p w:rsidR="0035617D" w:rsidRPr="00807160" w:rsidRDefault="0035617D" w:rsidP="00304B0A">
      <w:pPr>
        <w:spacing w:after="0" w:line="240" w:lineRule="auto"/>
      </w:pPr>
      <w:r w:rsidRPr="00807160">
        <w:t>1 Trevelyan Square</w:t>
      </w:r>
    </w:p>
    <w:p w:rsidR="0035617D" w:rsidRPr="00807160" w:rsidRDefault="0035617D" w:rsidP="00304B0A">
      <w:pPr>
        <w:spacing w:after="0" w:line="240" w:lineRule="auto"/>
      </w:pPr>
      <w:r w:rsidRPr="00807160">
        <w:t>Boar Lane</w:t>
      </w:r>
    </w:p>
    <w:p w:rsidR="0035617D" w:rsidRPr="00807160" w:rsidRDefault="0035617D" w:rsidP="00304B0A">
      <w:pPr>
        <w:spacing w:after="0" w:line="240" w:lineRule="auto"/>
      </w:pPr>
      <w:r w:rsidRPr="00807160">
        <w:t>Leeds</w:t>
      </w:r>
    </w:p>
    <w:p w:rsidR="0035617D" w:rsidRPr="00807160" w:rsidRDefault="0035617D" w:rsidP="00180BCA">
      <w:pPr>
        <w:spacing w:after="0" w:line="240" w:lineRule="auto"/>
      </w:pPr>
      <w:r w:rsidRPr="00807160">
        <w:t xml:space="preserve">LS1 6AE </w:t>
      </w:r>
    </w:p>
    <w:p w:rsidR="0035617D" w:rsidRDefault="007506E7" w:rsidP="00304B0A">
      <w:pPr>
        <w:rPr>
          <w:color w:val="000000" w:themeColor="text1"/>
        </w:rPr>
      </w:pPr>
      <w:r w:rsidRPr="007506E7">
        <w:rPr>
          <w:color w:val="000000" w:themeColor="text1"/>
        </w:rPr>
        <w:t>7 December 2020</w:t>
      </w:r>
    </w:p>
    <w:p w:rsidR="007506E7" w:rsidRPr="007506E7" w:rsidRDefault="007506E7" w:rsidP="00304B0A">
      <w:pPr>
        <w:rPr>
          <w:color w:val="000000" w:themeColor="text1"/>
        </w:rPr>
      </w:pPr>
    </w:p>
    <w:p w:rsidR="0035617D" w:rsidRPr="00807160" w:rsidRDefault="0035617D" w:rsidP="00304B0A">
      <w:r w:rsidRPr="00807160">
        <w:t xml:space="preserve">Dear Sarah </w:t>
      </w:r>
    </w:p>
    <w:p w:rsidR="00A32158" w:rsidRDefault="00A32158" w:rsidP="00304B0A">
      <w:pPr>
        <w:rPr>
          <w:b/>
          <w:bCs/>
        </w:rPr>
      </w:pPr>
      <w:r w:rsidRPr="00A32158">
        <w:rPr>
          <w:b/>
          <w:bCs/>
        </w:rPr>
        <w:t>Collection of Client-Level Adult Social Care Data</w:t>
      </w:r>
      <w:r w:rsidR="00814BAC">
        <w:rPr>
          <w:b/>
          <w:bCs/>
        </w:rPr>
        <w:t xml:space="preserve"> (No. 2)</w:t>
      </w:r>
    </w:p>
    <w:p w:rsidR="0035617D" w:rsidRDefault="72D047BD" w:rsidP="72D047BD">
      <w:pPr>
        <w:rPr>
          <w:noProof/>
          <w:lang w:eastAsia="en-GB"/>
        </w:rPr>
      </w:pPr>
      <w:r w:rsidRPr="72D047BD">
        <w:rPr>
          <w:noProof/>
          <w:lang w:eastAsia="en-GB"/>
        </w:rPr>
        <w:t xml:space="preserve">I am writing on behalf of the Secretary of State for Health and Social Care (the Secretary of State) to provide a Direction to the Health and Social Care Information Centre, now known and hereafter referred to as NHS Digital, to establish and operate a </w:t>
      </w:r>
      <w:r w:rsidR="00DB6925">
        <w:rPr>
          <w:noProof/>
          <w:lang w:eastAsia="en-GB"/>
        </w:rPr>
        <w:t xml:space="preserve">pilot </w:t>
      </w:r>
      <w:r w:rsidRPr="72D047BD">
        <w:rPr>
          <w:noProof/>
          <w:lang w:eastAsia="en-GB"/>
        </w:rPr>
        <w:t xml:space="preserve">system for the collection and analysis of Client-Level Adult Social Care Data from </w:t>
      </w:r>
      <w:r w:rsidR="00EC6786">
        <w:rPr>
          <w:noProof/>
          <w:lang w:eastAsia="en-GB"/>
        </w:rPr>
        <w:t xml:space="preserve">participating </w:t>
      </w:r>
      <w:r w:rsidRPr="72D047BD">
        <w:rPr>
          <w:noProof/>
          <w:lang w:eastAsia="en-GB"/>
        </w:rPr>
        <w:t xml:space="preserve">Local Authorities, and provide the mandatory information specified, to support local health and care systems. </w:t>
      </w:r>
    </w:p>
    <w:p w:rsidR="001C2604" w:rsidRPr="00FA6A72" w:rsidRDefault="001C2604" w:rsidP="72D047BD">
      <w:pPr>
        <w:rPr>
          <w:noProof/>
          <w:lang w:eastAsia="en-GB"/>
        </w:rPr>
      </w:pPr>
      <w:r w:rsidRPr="000B37EF">
        <w:rPr>
          <w:noProof/>
          <w:lang w:eastAsia="en-GB"/>
        </w:rPr>
        <w:t xml:space="preserve">This Direction is given in exercise of the powers conferred by sections 254(1) and (6), 260(2)(d), </w:t>
      </w:r>
      <w:r w:rsidR="00331A5F">
        <w:rPr>
          <w:noProof/>
          <w:lang w:eastAsia="en-GB"/>
        </w:rPr>
        <w:t>261(3),</w:t>
      </w:r>
      <w:r w:rsidR="00AE4790" w:rsidRPr="000B37EF">
        <w:rPr>
          <w:noProof/>
          <w:lang w:eastAsia="en-GB"/>
        </w:rPr>
        <w:t xml:space="preserve"> </w:t>
      </w:r>
      <w:r w:rsidR="007318C8" w:rsidRPr="000B37EF">
        <w:rPr>
          <w:noProof/>
          <w:lang w:eastAsia="en-GB"/>
        </w:rPr>
        <w:t>262(3)</w:t>
      </w:r>
      <w:r w:rsidR="0098796E" w:rsidRPr="000B37EF">
        <w:rPr>
          <w:noProof/>
          <w:lang w:eastAsia="en-GB"/>
        </w:rPr>
        <w:t>(b)</w:t>
      </w:r>
      <w:r w:rsidR="007318C8" w:rsidRPr="000B37EF">
        <w:rPr>
          <w:noProof/>
          <w:lang w:eastAsia="en-GB"/>
        </w:rPr>
        <w:t>,</w:t>
      </w:r>
      <w:r w:rsidR="00A52E53" w:rsidRPr="000B37EF">
        <w:rPr>
          <w:noProof/>
          <w:lang w:eastAsia="en-GB"/>
        </w:rPr>
        <w:t xml:space="preserve"> 262(7)</w:t>
      </w:r>
      <w:r w:rsidR="008F5922">
        <w:rPr>
          <w:noProof/>
          <w:lang w:eastAsia="en-GB"/>
        </w:rPr>
        <w:t xml:space="preserve"> </w:t>
      </w:r>
      <w:r w:rsidRPr="00FA6A72">
        <w:rPr>
          <w:noProof/>
          <w:lang w:eastAsia="en-GB"/>
        </w:rPr>
        <w:t>and 304(9), (10) and (12) of the Health and Social Care Act 2012</w:t>
      </w:r>
      <w:r>
        <w:rPr>
          <w:rStyle w:val="FootnoteReference"/>
          <w:noProof/>
          <w:lang w:eastAsia="en-GB"/>
        </w:rPr>
        <w:footnoteReference w:id="2"/>
      </w:r>
      <w:r w:rsidRPr="00FA6A72">
        <w:rPr>
          <w:noProof/>
          <w:lang w:eastAsia="en-GB"/>
        </w:rPr>
        <w:t xml:space="preserve"> </w:t>
      </w:r>
      <w:r w:rsidR="000D02A8">
        <w:rPr>
          <w:noProof/>
          <w:lang w:eastAsia="en-GB"/>
        </w:rPr>
        <w:t>(the Act)</w:t>
      </w:r>
      <w:r w:rsidR="00AE4790">
        <w:rPr>
          <w:noProof/>
          <w:lang w:eastAsia="en-GB"/>
        </w:rPr>
        <w:t xml:space="preserve"> </w:t>
      </w:r>
      <w:r w:rsidR="00AE4790" w:rsidRPr="00FA6A72">
        <w:rPr>
          <w:rFonts w:ascii="Calibri" w:hAnsi="Calibri" w:cs="Calibri"/>
        </w:rPr>
        <w:t>and Regulation 32 of the National Institute for Health and Care Excellence (Constitution and Functions) and the Health and Social Care Information Centre (Functions) Regulations 2013</w:t>
      </w:r>
      <w:r w:rsidR="00AE4790">
        <w:rPr>
          <w:rStyle w:val="FootnoteReference"/>
          <w:rFonts w:ascii="Calibri" w:hAnsi="Calibri" w:cs="Calibri"/>
        </w:rPr>
        <w:footnoteReference w:id="3"/>
      </w:r>
      <w:r w:rsidR="00AE4790">
        <w:rPr>
          <w:rFonts w:ascii="Calibri" w:hAnsi="Calibri" w:cs="Calibri"/>
        </w:rPr>
        <w:t xml:space="preserve"> (the Regulations)</w:t>
      </w:r>
      <w:r w:rsidR="00AE4790" w:rsidRPr="00FA6A72">
        <w:rPr>
          <w:rFonts w:ascii="Calibri" w:hAnsi="Calibri" w:cs="Calibri"/>
          <w:noProof/>
          <w:lang w:eastAsia="en-GB"/>
        </w:rPr>
        <w:t>.</w:t>
      </w:r>
      <w:r w:rsidRPr="72D047BD">
        <w:rPr>
          <w:rFonts w:ascii="Calibri" w:hAnsi="Calibri" w:cs="Calibri"/>
          <w:b/>
          <w:bCs/>
          <w:noProof/>
          <w:lang w:eastAsia="en-GB"/>
        </w:rPr>
        <w:t xml:space="preserve"> </w:t>
      </w:r>
    </w:p>
    <w:p w:rsidR="00446992" w:rsidRDefault="72D047BD" w:rsidP="72D047BD">
      <w:pPr>
        <w:rPr>
          <w:noProof/>
          <w:lang w:eastAsia="en-GB"/>
        </w:rPr>
      </w:pPr>
      <w:r w:rsidRPr="72D047BD">
        <w:rPr>
          <w:noProof/>
          <w:lang w:eastAsia="en-GB"/>
        </w:rPr>
        <w:t xml:space="preserve">This Direction is to be known as the </w:t>
      </w:r>
      <w:r w:rsidRPr="72D047BD">
        <w:rPr>
          <w:b/>
          <w:bCs/>
          <w:noProof/>
          <w:lang w:eastAsia="en-GB"/>
        </w:rPr>
        <w:t>Collection of Client-Level Adult Social Care Data (No.2)</w:t>
      </w:r>
      <w:r w:rsidRPr="72D047BD">
        <w:rPr>
          <w:noProof/>
          <w:lang w:eastAsia="en-GB"/>
        </w:rPr>
        <w:t xml:space="preserve"> and comes into force on</w:t>
      </w:r>
      <w:r w:rsidR="00262A6D">
        <w:rPr>
          <w:noProof/>
          <w:lang w:eastAsia="en-GB"/>
        </w:rPr>
        <w:t xml:space="preserve"> the dat</w:t>
      </w:r>
      <w:r w:rsidR="005D6F35">
        <w:rPr>
          <w:noProof/>
          <w:lang w:eastAsia="en-GB"/>
        </w:rPr>
        <w:t>e</w:t>
      </w:r>
      <w:r w:rsidR="00262A6D">
        <w:rPr>
          <w:noProof/>
          <w:lang w:eastAsia="en-GB"/>
        </w:rPr>
        <w:t xml:space="preserve"> of this letter</w:t>
      </w:r>
      <w:r w:rsidRPr="72D047BD">
        <w:rPr>
          <w:noProof/>
          <w:lang w:eastAsia="en-GB"/>
        </w:rPr>
        <w:t xml:space="preserve">. The Collection of Client-Level Adult Social Care data Direction issued by the Secretary of State on 19/09/2017 will be revoked once the new </w:t>
      </w:r>
      <w:r w:rsidR="008A06CD">
        <w:rPr>
          <w:noProof/>
          <w:lang w:eastAsia="en-GB"/>
        </w:rPr>
        <w:t>c</w:t>
      </w:r>
      <w:r w:rsidR="008A06CD" w:rsidRPr="72D047BD">
        <w:rPr>
          <w:noProof/>
          <w:lang w:eastAsia="en-GB"/>
        </w:rPr>
        <w:t xml:space="preserve">ollection </w:t>
      </w:r>
      <w:r w:rsidRPr="72D047BD">
        <w:rPr>
          <w:noProof/>
          <w:lang w:eastAsia="en-GB"/>
        </w:rPr>
        <w:t xml:space="preserve">is operational and its provisions fully meet </w:t>
      </w:r>
      <w:r w:rsidR="009D7F19">
        <w:rPr>
          <w:noProof/>
          <w:lang w:eastAsia="en-GB"/>
        </w:rPr>
        <w:t>the</w:t>
      </w:r>
      <w:r w:rsidRPr="72D047BD">
        <w:rPr>
          <w:noProof/>
          <w:lang w:eastAsia="en-GB"/>
        </w:rPr>
        <w:t xml:space="preserve"> requirements</w:t>
      </w:r>
      <w:r w:rsidR="00B64C72">
        <w:rPr>
          <w:noProof/>
          <w:lang w:eastAsia="en-GB"/>
        </w:rPr>
        <w:t xml:space="preserve"> </w:t>
      </w:r>
      <w:r w:rsidR="009D7F19">
        <w:rPr>
          <w:noProof/>
          <w:lang w:eastAsia="en-GB"/>
        </w:rPr>
        <w:t>set out in the 2017 Direction</w:t>
      </w:r>
      <w:r w:rsidRPr="72D047BD">
        <w:rPr>
          <w:noProof/>
          <w:lang w:eastAsia="en-GB"/>
        </w:rPr>
        <w:t xml:space="preserve">, as determined by </w:t>
      </w:r>
      <w:r w:rsidR="00CE17F1">
        <w:rPr>
          <w:noProof/>
          <w:lang w:eastAsia="en-GB"/>
        </w:rPr>
        <w:t xml:space="preserve">the </w:t>
      </w:r>
      <w:r w:rsidR="003A69D4">
        <w:rPr>
          <w:noProof/>
          <w:lang w:eastAsia="en-GB"/>
        </w:rPr>
        <w:t>Department of Health and Social Care.</w:t>
      </w:r>
      <w:r w:rsidR="007C16E1">
        <w:rPr>
          <w:noProof/>
          <w:lang w:eastAsia="en-GB"/>
        </w:rPr>
        <w:t xml:space="preserve"> </w:t>
      </w:r>
      <w:r w:rsidR="007C16E1" w:rsidRPr="007C16E1">
        <w:rPr>
          <w:noProof/>
          <w:lang w:eastAsia="en-GB"/>
        </w:rPr>
        <w:t xml:space="preserve">NHS Digital will be informed in writing by an authorised officer of the Department of Health </w:t>
      </w:r>
      <w:r w:rsidR="000662AC">
        <w:rPr>
          <w:noProof/>
          <w:lang w:eastAsia="en-GB"/>
        </w:rPr>
        <w:t xml:space="preserve">and Social Care, </w:t>
      </w:r>
      <w:r w:rsidR="007C16E1" w:rsidRPr="007C16E1">
        <w:rPr>
          <w:noProof/>
          <w:lang w:eastAsia="en-GB"/>
        </w:rPr>
        <w:t>on behalf of the Secretary of State</w:t>
      </w:r>
      <w:r w:rsidR="000662AC">
        <w:rPr>
          <w:noProof/>
          <w:lang w:eastAsia="en-GB"/>
        </w:rPr>
        <w:t>,</w:t>
      </w:r>
      <w:r w:rsidR="007C16E1" w:rsidRPr="007C16E1">
        <w:rPr>
          <w:noProof/>
          <w:lang w:eastAsia="en-GB"/>
        </w:rPr>
        <w:t xml:space="preserve"> </w:t>
      </w:r>
      <w:r w:rsidR="00D9776F">
        <w:rPr>
          <w:noProof/>
          <w:lang w:eastAsia="en-GB"/>
        </w:rPr>
        <w:t>when</w:t>
      </w:r>
      <w:r w:rsidR="00D9776F" w:rsidRPr="007C16E1">
        <w:rPr>
          <w:noProof/>
          <w:lang w:eastAsia="en-GB"/>
        </w:rPr>
        <w:t xml:space="preserve"> </w:t>
      </w:r>
      <w:r w:rsidR="007C16E1" w:rsidRPr="007C16E1">
        <w:rPr>
          <w:noProof/>
          <w:lang w:eastAsia="en-GB"/>
        </w:rPr>
        <w:t xml:space="preserve">the 2017 Direction has been revoked. The revocation letter will be published alongside this </w:t>
      </w:r>
      <w:r w:rsidR="008806FC">
        <w:rPr>
          <w:noProof/>
          <w:lang w:eastAsia="en-GB"/>
        </w:rPr>
        <w:t>No 2</w:t>
      </w:r>
      <w:r w:rsidR="007C16E1" w:rsidRPr="007C16E1">
        <w:rPr>
          <w:noProof/>
          <w:lang w:eastAsia="en-GB"/>
        </w:rPr>
        <w:t xml:space="preserve"> Direction</w:t>
      </w:r>
      <w:r w:rsidR="002B29E1">
        <w:rPr>
          <w:noProof/>
          <w:lang w:eastAsia="en-GB"/>
        </w:rPr>
        <w:t>.</w:t>
      </w:r>
    </w:p>
    <w:p w:rsidR="00C875CE" w:rsidRPr="00C875CE" w:rsidRDefault="5AC05092" w:rsidP="00C875CE">
      <w:pPr>
        <w:spacing w:after="0"/>
        <w:rPr>
          <w:rFonts w:eastAsia="Calibri"/>
        </w:rPr>
      </w:pPr>
      <w:r w:rsidRPr="5AC05092">
        <w:rPr>
          <w:noProof/>
          <w:lang w:eastAsia="en-GB"/>
        </w:rPr>
        <w:t>In accordance with section 254(2)(a) of the Act, the Secretary of State considers that the information which could be obtained by complying with the direction is information which it is necessary or expedient for the Secretary of State to have in relation to the exercise by the Secretary of State of the Secretary of State's functions in connection with the provision of health services or of adult social care in England,  in particular in relation to his functions in connection with the provision of adult social care services and for the local commissioning and provision of integrated care services in England.</w:t>
      </w:r>
      <w:r w:rsidRPr="5AC05092">
        <w:rPr>
          <w:rFonts w:eastAsia="Calibri"/>
        </w:rPr>
        <w:t xml:space="preserve"> </w:t>
      </w:r>
      <w:r w:rsidR="00C875CE" w:rsidRPr="00C875CE">
        <w:rPr>
          <w:rFonts w:eastAsia="Calibri"/>
        </w:rPr>
        <w:t xml:space="preserve">In accordance with section s254(5) NHS Digital has been consulted before this Direction has been given. </w:t>
      </w:r>
    </w:p>
    <w:p w:rsidR="00A32158" w:rsidRPr="00302E47" w:rsidRDefault="00A32158" w:rsidP="00302E47">
      <w:pPr>
        <w:pStyle w:val="ListParagraph"/>
        <w:numPr>
          <w:ilvl w:val="0"/>
          <w:numId w:val="8"/>
        </w:numPr>
        <w:spacing w:before="240"/>
        <w:rPr>
          <w:b/>
          <w:bCs/>
          <w:noProof/>
          <w:lang w:eastAsia="en-GB"/>
        </w:rPr>
      </w:pPr>
      <w:r w:rsidRPr="00302E47">
        <w:rPr>
          <w:b/>
          <w:bCs/>
          <w:noProof/>
          <w:lang w:eastAsia="en-GB"/>
        </w:rPr>
        <w:t>Purpose</w:t>
      </w:r>
      <w:r w:rsidR="003A0D51" w:rsidRPr="00302E47">
        <w:rPr>
          <w:b/>
          <w:bCs/>
          <w:noProof/>
          <w:lang w:eastAsia="en-GB"/>
        </w:rPr>
        <w:t xml:space="preserve"> for the system</w:t>
      </w:r>
    </w:p>
    <w:p w:rsidR="00A806DF" w:rsidRDefault="00A806DF" w:rsidP="008B7FB1">
      <w:pPr>
        <w:rPr>
          <w:noProof/>
          <w:lang w:eastAsia="en-GB"/>
        </w:rPr>
      </w:pPr>
      <w:r>
        <w:rPr>
          <w:noProof/>
          <w:lang w:eastAsia="en-GB"/>
        </w:rPr>
        <w:t xml:space="preserve">This </w:t>
      </w:r>
      <w:r w:rsidR="001858D1">
        <w:rPr>
          <w:noProof/>
          <w:lang w:eastAsia="en-GB"/>
        </w:rPr>
        <w:t xml:space="preserve">Direction </w:t>
      </w:r>
      <w:r>
        <w:rPr>
          <w:noProof/>
          <w:lang w:eastAsia="en-GB"/>
        </w:rPr>
        <w:t xml:space="preserve">is </w:t>
      </w:r>
      <w:r w:rsidR="00A32158">
        <w:rPr>
          <w:noProof/>
          <w:lang w:eastAsia="en-GB"/>
        </w:rPr>
        <w:t xml:space="preserve">given </w:t>
      </w:r>
      <w:r w:rsidR="00485F03">
        <w:rPr>
          <w:noProof/>
          <w:lang w:eastAsia="en-GB"/>
        </w:rPr>
        <w:t>to obtain data which can be used</w:t>
      </w:r>
      <w:r w:rsidR="00302E47">
        <w:rPr>
          <w:noProof/>
          <w:lang w:eastAsia="en-GB"/>
        </w:rPr>
        <w:t>,</w:t>
      </w:r>
      <w:r w:rsidR="00485F03">
        <w:rPr>
          <w:noProof/>
          <w:lang w:eastAsia="en-GB"/>
        </w:rPr>
        <w:t xml:space="preserve"> </w:t>
      </w:r>
      <w:r w:rsidR="00553EAB">
        <w:rPr>
          <w:noProof/>
          <w:lang w:eastAsia="en-GB"/>
        </w:rPr>
        <w:t xml:space="preserve">and may be linked to other data </w:t>
      </w:r>
      <w:r w:rsidR="00302E47">
        <w:rPr>
          <w:noProof/>
          <w:lang w:eastAsia="en-GB"/>
        </w:rPr>
        <w:t>accessible from</w:t>
      </w:r>
      <w:r w:rsidR="00553EAB">
        <w:rPr>
          <w:noProof/>
          <w:lang w:eastAsia="en-GB"/>
        </w:rPr>
        <w:t xml:space="preserve"> NHS Digital </w:t>
      </w:r>
      <w:r w:rsidR="00302E47">
        <w:rPr>
          <w:noProof/>
          <w:lang w:eastAsia="en-GB"/>
        </w:rPr>
        <w:t xml:space="preserve">through the Data Access </w:t>
      </w:r>
      <w:r w:rsidR="005D6DC6">
        <w:rPr>
          <w:noProof/>
          <w:lang w:eastAsia="en-GB"/>
        </w:rPr>
        <w:t>R</w:t>
      </w:r>
      <w:r w:rsidR="00302E47">
        <w:rPr>
          <w:noProof/>
          <w:lang w:eastAsia="en-GB"/>
        </w:rPr>
        <w:t xml:space="preserve">elease Service (DARS), </w:t>
      </w:r>
      <w:r>
        <w:rPr>
          <w:noProof/>
          <w:lang w:eastAsia="en-GB"/>
        </w:rPr>
        <w:t xml:space="preserve">for the following </w:t>
      </w:r>
      <w:r w:rsidR="008B7FB1">
        <w:rPr>
          <w:noProof/>
          <w:lang w:eastAsia="en-GB"/>
        </w:rPr>
        <w:t xml:space="preserve">purposes which will assist Local </w:t>
      </w:r>
      <w:r w:rsidR="009572B6">
        <w:rPr>
          <w:noProof/>
          <w:lang w:eastAsia="en-GB"/>
        </w:rPr>
        <w:t xml:space="preserve">and National </w:t>
      </w:r>
      <w:r w:rsidR="008B7FB1">
        <w:rPr>
          <w:noProof/>
          <w:lang w:eastAsia="en-GB"/>
        </w:rPr>
        <w:t>Government, Clinical Commissioning Groups (CCGs) and other integrated health and care commissioning bodies such as</w:t>
      </w:r>
      <w:r w:rsidR="008F5922">
        <w:rPr>
          <w:noProof/>
          <w:lang w:eastAsia="en-GB"/>
        </w:rPr>
        <w:t xml:space="preserve"> </w:t>
      </w:r>
      <w:r w:rsidR="008F5922">
        <w:t>those that are part of integrated care systems</w:t>
      </w:r>
      <w:r w:rsidR="002859E3">
        <w:t xml:space="preserve"> (these bodies are listed in annex 3</w:t>
      </w:r>
      <w:r w:rsidR="00B452E8">
        <w:t>,</w:t>
      </w:r>
      <w:r w:rsidR="008F5922">
        <w:t xml:space="preserve"> in fulfilling their statutory functions</w:t>
      </w:r>
      <w:r w:rsidR="00302E47">
        <w:t xml:space="preserve">. This </w:t>
      </w:r>
      <w:r w:rsidR="008B7FB1">
        <w:rPr>
          <w:noProof/>
          <w:lang w:eastAsia="en-GB"/>
        </w:rPr>
        <w:t>includes, for example, the functions of Local Authorities under Part 1 of the Care Act 2014</w:t>
      </w:r>
      <w:r w:rsidR="001C2604">
        <w:rPr>
          <w:rStyle w:val="FootnoteReference"/>
          <w:noProof/>
          <w:lang w:eastAsia="en-GB"/>
        </w:rPr>
        <w:footnoteReference w:id="4"/>
      </w:r>
      <w:r w:rsidR="008B7FB1">
        <w:rPr>
          <w:noProof/>
          <w:lang w:eastAsia="en-GB"/>
        </w:rPr>
        <w:t>:</w:t>
      </w:r>
    </w:p>
    <w:p w:rsidR="008B7FB1" w:rsidRDefault="008B7FB1" w:rsidP="008B7FB1">
      <w:pPr>
        <w:pStyle w:val="ListParagraph"/>
        <w:numPr>
          <w:ilvl w:val="0"/>
          <w:numId w:val="3"/>
        </w:numPr>
        <w:rPr>
          <w:noProof/>
          <w:lang w:eastAsia="en-GB"/>
        </w:rPr>
      </w:pPr>
      <w:r>
        <w:rPr>
          <w:noProof/>
          <w:lang w:eastAsia="en-GB"/>
        </w:rPr>
        <w:t xml:space="preserve">Monitoring, at a population level, particular cohorts </w:t>
      </w:r>
      <w:r w:rsidR="007C79DC">
        <w:rPr>
          <w:noProof/>
          <w:lang w:eastAsia="en-GB"/>
        </w:rPr>
        <w:t xml:space="preserve">of service users and designing analytical models which support more effective interventions in health and </w:t>
      </w:r>
      <w:r w:rsidR="00A32158">
        <w:rPr>
          <w:noProof/>
          <w:lang w:eastAsia="en-GB"/>
        </w:rPr>
        <w:t>a</w:t>
      </w:r>
      <w:r w:rsidR="007C79DC">
        <w:rPr>
          <w:noProof/>
          <w:lang w:eastAsia="en-GB"/>
        </w:rPr>
        <w:t xml:space="preserve">dult </w:t>
      </w:r>
      <w:r w:rsidR="00A32158">
        <w:rPr>
          <w:noProof/>
          <w:lang w:eastAsia="en-GB"/>
        </w:rPr>
        <w:t>s</w:t>
      </w:r>
      <w:r w:rsidR="007C79DC">
        <w:rPr>
          <w:noProof/>
          <w:lang w:eastAsia="en-GB"/>
        </w:rPr>
        <w:t xml:space="preserve">ocial </w:t>
      </w:r>
      <w:r w:rsidR="00A32158">
        <w:rPr>
          <w:noProof/>
          <w:lang w:eastAsia="en-GB"/>
        </w:rPr>
        <w:t>c</w:t>
      </w:r>
      <w:r w:rsidR="007C79DC">
        <w:rPr>
          <w:noProof/>
          <w:lang w:eastAsia="en-GB"/>
        </w:rPr>
        <w:t>are</w:t>
      </w:r>
    </w:p>
    <w:p w:rsidR="007C79DC" w:rsidRDefault="007C79DC" w:rsidP="008B7FB1">
      <w:pPr>
        <w:pStyle w:val="ListParagraph"/>
        <w:numPr>
          <w:ilvl w:val="0"/>
          <w:numId w:val="3"/>
        </w:numPr>
        <w:rPr>
          <w:noProof/>
          <w:lang w:eastAsia="en-GB"/>
        </w:rPr>
      </w:pPr>
      <w:r>
        <w:rPr>
          <w:noProof/>
          <w:lang w:eastAsia="en-GB"/>
        </w:rPr>
        <w:t xml:space="preserve">Monitoring service and integrated care outcomes across a pathway or care setting involving </w:t>
      </w:r>
      <w:r w:rsidR="00A32158">
        <w:rPr>
          <w:noProof/>
          <w:lang w:eastAsia="en-GB"/>
        </w:rPr>
        <w:t>adult social care</w:t>
      </w:r>
    </w:p>
    <w:p w:rsidR="007C79DC" w:rsidRDefault="007C79DC" w:rsidP="008B7FB1">
      <w:pPr>
        <w:pStyle w:val="ListParagraph"/>
        <w:numPr>
          <w:ilvl w:val="0"/>
          <w:numId w:val="3"/>
        </w:numPr>
        <w:rPr>
          <w:noProof/>
          <w:lang w:eastAsia="en-GB"/>
        </w:rPr>
      </w:pPr>
      <w:r>
        <w:rPr>
          <w:noProof/>
          <w:lang w:eastAsia="en-GB"/>
        </w:rPr>
        <w:t xml:space="preserve">Developing, through evaluation of person-level data, more effective prevention strategies and interventions across a pathway or care setting involving </w:t>
      </w:r>
      <w:r w:rsidR="00A32158" w:rsidRPr="00A32158">
        <w:rPr>
          <w:noProof/>
          <w:lang w:eastAsia="en-GB"/>
        </w:rPr>
        <w:t>adult social care</w:t>
      </w:r>
    </w:p>
    <w:p w:rsidR="007C79DC" w:rsidRDefault="007C79DC" w:rsidP="008B7FB1">
      <w:pPr>
        <w:pStyle w:val="ListParagraph"/>
        <w:numPr>
          <w:ilvl w:val="0"/>
          <w:numId w:val="3"/>
        </w:numPr>
        <w:rPr>
          <w:noProof/>
          <w:lang w:eastAsia="en-GB"/>
        </w:rPr>
      </w:pPr>
      <w:r>
        <w:rPr>
          <w:noProof/>
          <w:lang w:eastAsia="en-GB"/>
        </w:rPr>
        <w:t xml:space="preserve">Designing and implementing new payment models across health and </w:t>
      </w:r>
      <w:r w:rsidR="00A32158" w:rsidRPr="00A32158">
        <w:rPr>
          <w:noProof/>
          <w:lang w:eastAsia="en-GB"/>
        </w:rPr>
        <w:t>adult social care</w:t>
      </w:r>
    </w:p>
    <w:p w:rsidR="008C237D" w:rsidRDefault="006C6E39" w:rsidP="008C237D">
      <w:pPr>
        <w:pStyle w:val="ListParagraph"/>
        <w:numPr>
          <w:ilvl w:val="0"/>
          <w:numId w:val="3"/>
        </w:numPr>
        <w:rPr>
          <w:noProof/>
          <w:lang w:eastAsia="en-GB"/>
        </w:rPr>
      </w:pPr>
      <w:r>
        <w:rPr>
          <w:noProof/>
          <w:lang w:eastAsia="en-GB"/>
        </w:rPr>
        <w:t>Understanding current and future population needs and resource ut</w:t>
      </w:r>
      <w:r w:rsidR="00A32158">
        <w:rPr>
          <w:noProof/>
          <w:lang w:eastAsia="en-GB"/>
        </w:rPr>
        <w:t>i</w:t>
      </w:r>
      <w:r>
        <w:rPr>
          <w:noProof/>
          <w:lang w:eastAsia="en-GB"/>
        </w:rPr>
        <w:t>lisation for local strategic planning and commissioning purposes including for health, social care and public health needs.</w:t>
      </w:r>
    </w:p>
    <w:p w:rsidR="005D6DC6" w:rsidRDefault="005D6DC6" w:rsidP="005D6DC6">
      <w:pPr>
        <w:pStyle w:val="ListParagraph"/>
        <w:spacing w:before="240"/>
        <w:ind w:left="360"/>
        <w:rPr>
          <w:b/>
          <w:bCs/>
          <w:noProof/>
          <w:lang w:eastAsia="en-GB"/>
        </w:rPr>
      </w:pPr>
    </w:p>
    <w:p w:rsidR="00BB46E1" w:rsidRPr="00BB46E1" w:rsidRDefault="003A0D51" w:rsidP="00302E47">
      <w:pPr>
        <w:pStyle w:val="ListParagraph"/>
        <w:numPr>
          <w:ilvl w:val="0"/>
          <w:numId w:val="8"/>
        </w:numPr>
        <w:spacing w:before="240"/>
        <w:rPr>
          <w:b/>
          <w:bCs/>
          <w:noProof/>
          <w:lang w:eastAsia="en-GB"/>
        </w:rPr>
      </w:pPr>
      <w:r>
        <w:rPr>
          <w:b/>
          <w:bCs/>
          <w:noProof/>
          <w:lang w:eastAsia="en-GB"/>
        </w:rPr>
        <w:t>Purpose for NHS Digital</w:t>
      </w:r>
      <w:r w:rsidR="00BB46E1" w:rsidRPr="00BB46E1">
        <w:rPr>
          <w:b/>
          <w:bCs/>
          <w:noProof/>
          <w:lang w:eastAsia="en-GB"/>
        </w:rPr>
        <w:t xml:space="preserve"> </w:t>
      </w:r>
    </w:p>
    <w:p w:rsidR="00D133CF" w:rsidRDefault="00A94C26" w:rsidP="008258A1">
      <w:pPr>
        <w:rPr>
          <w:noProof/>
          <w:lang w:eastAsia="en-GB"/>
        </w:rPr>
      </w:pPr>
      <w:r>
        <w:rPr>
          <w:noProof/>
          <w:lang w:eastAsia="en-GB"/>
        </w:rPr>
        <w:t xml:space="preserve">Under the Direction, </w:t>
      </w:r>
      <w:r w:rsidR="00875BF1">
        <w:rPr>
          <w:noProof/>
          <w:lang w:eastAsia="en-GB"/>
        </w:rPr>
        <w:t>NHS Digital</w:t>
      </w:r>
      <w:r>
        <w:rPr>
          <w:noProof/>
          <w:lang w:eastAsia="en-GB"/>
        </w:rPr>
        <w:t xml:space="preserve"> will </w:t>
      </w:r>
      <w:r w:rsidR="00EE621C">
        <w:rPr>
          <w:noProof/>
          <w:lang w:eastAsia="en-GB"/>
        </w:rPr>
        <w:t xml:space="preserve">also </w:t>
      </w:r>
      <w:r>
        <w:rPr>
          <w:noProof/>
          <w:lang w:eastAsia="en-GB"/>
        </w:rPr>
        <w:t>analyse</w:t>
      </w:r>
      <w:r w:rsidR="00875BF1">
        <w:rPr>
          <w:noProof/>
          <w:lang w:eastAsia="en-GB"/>
        </w:rPr>
        <w:t xml:space="preserve"> and </w:t>
      </w:r>
      <w:r>
        <w:rPr>
          <w:noProof/>
          <w:lang w:eastAsia="en-GB"/>
        </w:rPr>
        <w:t>use</w:t>
      </w:r>
      <w:r w:rsidR="00875BF1">
        <w:rPr>
          <w:noProof/>
          <w:lang w:eastAsia="en-GB"/>
        </w:rPr>
        <w:t xml:space="preserve"> </w:t>
      </w:r>
      <w:r w:rsidR="00875BF1" w:rsidRPr="000B4F21">
        <w:rPr>
          <w:noProof/>
          <w:lang w:eastAsia="en-GB"/>
        </w:rPr>
        <w:t xml:space="preserve">the data for </w:t>
      </w:r>
      <w:r w:rsidR="00262A6D">
        <w:rPr>
          <w:noProof/>
          <w:lang w:eastAsia="en-GB"/>
        </w:rPr>
        <w:t xml:space="preserve">discovery and </w:t>
      </w:r>
      <w:r w:rsidR="00875BF1" w:rsidRPr="000B4F21">
        <w:rPr>
          <w:noProof/>
          <w:lang w:eastAsia="en-GB"/>
        </w:rPr>
        <w:t>development purposes</w:t>
      </w:r>
      <w:r w:rsidR="00875BF1" w:rsidRPr="00875BF1">
        <w:rPr>
          <w:noProof/>
          <w:lang w:eastAsia="en-GB"/>
        </w:rPr>
        <w:t xml:space="preserve"> </w:t>
      </w:r>
      <w:r w:rsidR="00875BF1">
        <w:rPr>
          <w:noProof/>
          <w:lang w:eastAsia="en-GB"/>
        </w:rPr>
        <w:t xml:space="preserve">to enable an </w:t>
      </w:r>
      <w:r w:rsidR="00875BF1" w:rsidRPr="000B4F21">
        <w:rPr>
          <w:noProof/>
          <w:lang w:eastAsia="en-GB"/>
        </w:rPr>
        <w:t xml:space="preserve">understanding </w:t>
      </w:r>
      <w:r w:rsidR="00875BF1">
        <w:rPr>
          <w:noProof/>
          <w:lang w:eastAsia="en-GB"/>
        </w:rPr>
        <w:t xml:space="preserve">of the </w:t>
      </w:r>
      <w:r w:rsidR="00875BF1" w:rsidRPr="000B4F21">
        <w:rPr>
          <w:noProof/>
          <w:lang w:eastAsia="en-GB"/>
        </w:rPr>
        <w:t xml:space="preserve">data items and definitions recorded within </w:t>
      </w:r>
      <w:r w:rsidR="00875BF1">
        <w:rPr>
          <w:noProof/>
          <w:lang w:eastAsia="en-GB"/>
        </w:rPr>
        <w:t>the IT s</w:t>
      </w:r>
      <w:r w:rsidR="00875BF1" w:rsidRPr="000B4F21">
        <w:rPr>
          <w:noProof/>
          <w:lang w:eastAsia="en-GB"/>
        </w:rPr>
        <w:t>ystems</w:t>
      </w:r>
      <w:r w:rsidR="00875BF1">
        <w:rPr>
          <w:noProof/>
          <w:lang w:eastAsia="en-GB"/>
        </w:rPr>
        <w:t xml:space="preserve"> of CASSRs, </w:t>
      </w:r>
      <w:r>
        <w:rPr>
          <w:noProof/>
          <w:lang w:eastAsia="en-GB"/>
        </w:rPr>
        <w:t>and to support the</w:t>
      </w:r>
      <w:r w:rsidR="00875BF1" w:rsidRPr="000B4F21">
        <w:rPr>
          <w:noProof/>
          <w:lang w:eastAsia="en-GB"/>
        </w:rPr>
        <w:t xml:space="preserve"> </w:t>
      </w:r>
      <w:r w:rsidR="000B4F21" w:rsidRPr="000B4F21">
        <w:rPr>
          <w:noProof/>
          <w:lang w:eastAsia="en-GB"/>
        </w:rPr>
        <w:t xml:space="preserve">development of </w:t>
      </w:r>
      <w:r w:rsidR="001F3BFE">
        <w:rPr>
          <w:noProof/>
          <w:lang w:eastAsia="en-GB"/>
        </w:rPr>
        <w:t xml:space="preserve">a future </w:t>
      </w:r>
      <w:r w:rsidR="000B4F21" w:rsidRPr="000B4F21">
        <w:rPr>
          <w:noProof/>
          <w:lang w:eastAsia="en-GB"/>
        </w:rPr>
        <w:t xml:space="preserve">England-wide </w:t>
      </w:r>
      <w:r w:rsidR="001F3BFE">
        <w:rPr>
          <w:noProof/>
          <w:lang w:eastAsia="en-GB"/>
        </w:rPr>
        <w:t xml:space="preserve">mandatory </w:t>
      </w:r>
      <w:r w:rsidR="000B4F21" w:rsidRPr="000B4F21">
        <w:rPr>
          <w:noProof/>
          <w:lang w:eastAsia="en-GB"/>
        </w:rPr>
        <w:t>collection</w:t>
      </w:r>
      <w:r>
        <w:rPr>
          <w:noProof/>
          <w:lang w:eastAsia="en-GB"/>
        </w:rPr>
        <w:t xml:space="preserve"> of data.</w:t>
      </w:r>
      <w:r w:rsidR="000B4F21" w:rsidRPr="000B4F21">
        <w:rPr>
          <w:noProof/>
          <w:lang w:eastAsia="en-GB"/>
        </w:rPr>
        <w:t xml:space="preserve"> </w:t>
      </w:r>
    </w:p>
    <w:p w:rsidR="008258A1" w:rsidRPr="00302E47" w:rsidRDefault="008258A1" w:rsidP="00302E47">
      <w:pPr>
        <w:pStyle w:val="ListParagraph"/>
        <w:numPr>
          <w:ilvl w:val="0"/>
          <w:numId w:val="8"/>
        </w:numPr>
        <w:spacing w:before="240"/>
        <w:rPr>
          <w:b/>
          <w:bCs/>
          <w:noProof/>
          <w:lang w:eastAsia="en-GB"/>
        </w:rPr>
      </w:pPr>
      <w:r w:rsidRPr="00302E47">
        <w:rPr>
          <w:b/>
          <w:bCs/>
          <w:noProof/>
          <w:lang w:eastAsia="en-GB"/>
        </w:rPr>
        <w:t>Collection and Analysis</w:t>
      </w:r>
    </w:p>
    <w:p w:rsidR="008258A1" w:rsidRPr="00F12D31" w:rsidRDefault="008258A1" w:rsidP="00D133CF">
      <w:pPr>
        <w:rPr>
          <w:noProof/>
          <w:color w:val="FF0000"/>
          <w:lang w:eastAsia="en-GB"/>
        </w:rPr>
      </w:pPr>
      <w:r>
        <w:rPr>
          <w:noProof/>
          <w:lang w:eastAsia="en-GB"/>
        </w:rPr>
        <w:t>Under sections 254</w:t>
      </w:r>
      <w:r w:rsidRPr="00D133CF">
        <w:rPr>
          <w:rFonts w:cstheme="minorHAnsi"/>
          <w:noProof/>
          <w:lang w:eastAsia="en-GB"/>
        </w:rPr>
        <w:t xml:space="preserve">(1) and 254(6) </w:t>
      </w:r>
      <w:r>
        <w:rPr>
          <w:noProof/>
          <w:lang w:eastAsia="en-GB"/>
        </w:rPr>
        <w:t>of</w:t>
      </w:r>
      <w:r w:rsidRPr="00D133CF">
        <w:rPr>
          <w:rFonts w:cstheme="minorHAnsi"/>
        </w:rPr>
        <w:t xml:space="preserve"> the Act, </w:t>
      </w:r>
      <w:r w:rsidRPr="00D133CF">
        <w:rPr>
          <w:rFonts w:cstheme="minorHAnsi"/>
          <w:noProof/>
          <w:lang w:eastAsia="en-GB"/>
        </w:rPr>
        <w:t>NHS Digital is directed to</w:t>
      </w:r>
      <w:r w:rsidR="00251A02">
        <w:rPr>
          <w:rFonts w:cstheme="minorHAnsi"/>
          <w:noProof/>
          <w:lang w:eastAsia="en-GB"/>
        </w:rPr>
        <w:t>:</w:t>
      </w:r>
    </w:p>
    <w:p w:rsidR="008258A1" w:rsidRDefault="008258A1" w:rsidP="008258A1">
      <w:pPr>
        <w:pStyle w:val="ListParagraph"/>
        <w:numPr>
          <w:ilvl w:val="0"/>
          <w:numId w:val="1"/>
        </w:numPr>
        <w:ind w:left="714" w:hanging="357"/>
        <w:rPr>
          <w:noProof/>
          <w:lang w:eastAsia="en-GB"/>
        </w:rPr>
      </w:pPr>
      <w:r w:rsidRPr="00525E69">
        <w:rPr>
          <w:noProof/>
          <w:lang w:eastAsia="en-GB"/>
        </w:rPr>
        <w:t xml:space="preserve">Collect, from </w:t>
      </w:r>
      <w:r w:rsidR="00262A6D">
        <w:rPr>
          <w:noProof/>
          <w:lang w:eastAsia="en-GB"/>
        </w:rPr>
        <w:t xml:space="preserve">participating </w:t>
      </w:r>
      <w:r>
        <w:rPr>
          <w:noProof/>
          <w:lang w:eastAsia="en-GB"/>
        </w:rPr>
        <w:t xml:space="preserve">Councils </w:t>
      </w:r>
      <w:r w:rsidRPr="00525E69">
        <w:rPr>
          <w:noProof/>
          <w:lang w:eastAsia="en-GB"/>
        </w:rPr>
        <w:t xml:space="preserve">with Adult Social Services Responsibility (CASSRs) </w:t>
      </w:r>
      <w:r w:rsidR="00F25C0C">
        <w:rPr>
          <w:noProof/>
          <w:lang w:eastAsia="en-GB"/>
        </w:rPr>
        <w:t>in England</w:t>
      </w:r>
      <w:r w:rsidRPr="00525E69">
        <w:rPr>
          <w:noProof/>
          <w:lang w:eastAsia="en-GB"/>
        </w:rPr>
        <w:t xml:space="preserve">, client-level adult social care data as set out in </w:t>
      </w:r>
      <w:r w:rsidRPr="00525E69">
        <w:rPr>
          <w:b/>
          <w:bCs/>
          <w:noProof/>
          <w:lang w:eastAsia="en-GB"/>
        </w:rPr>
        <w:t>Annex 1</w:t>
      </w:r>
      <w:r w:rsidRPr="00525E69">
        <w:rPr>
          <w:noProof/>
          <w:lang w:eastAsia="en-GB"/>
        </w:rPr>
        <w:t xml:space="preserve"> </w:t>
      </w:r>
      <w:r w:rsidR="00294B7F">
        <w:rPr>
          <w:noProof/>
          <w:lang w:eastAsia="en-GB"/>
        </w:rPr>
        <w:t xml:space="preserve">and </w:t>
      </w:r>
      <w:r w:rsidR="00294B7F" w:rsidRPr="00302E47">
        <w:rPr>
          <w:b/>
          <w:bCs/>
          <w:noProof/>
          <w:lang w:eastAsia="en-GB"/>
        </w:rPr>
        <w:t>Annex 2</w:t>
      </w:r>
      <w:r w:rsidR="00294B7F">
        <w:rPr>
          <w:noProof/>
          <w:lang w:eastAsia="en-GB"/>
        </w:rPr>
        <w:t xml:space="preserve"> </w:t>
      </w:r>
      <w:r w:rsidRPr="00525E69">
        <w:rPr>
          <w:noProof/>
          <w:lang w:eastAsia="en-GB"/>
        </w:rPr>
        <w:t>about adults in receipt of Local Authority-funded social care services</w:t>
      </w:r>
      <w:r w:rsidR="00FB5CBA">
        <w:rPr>
          <w:noProof/>
          <w:lang w:eastAsia="en-GB"/>
        </w:rPr>
        <w:t xml:space="preserve"> (</w:t>
      </w:r>
      <w:r w:rsidR="00FB5CBA" w:rsidRPr="00302E47">
        <w:rPr>
          <w:b/>
          <w:bCs/>
          <w:noProof/>
          <w:lang w:eastAsia="en-GB"/>
        </w:rPr>
        <w:t>Client</w:t>
      </w:r>
      <w:r w:rsidR="00082F0B">
        <w:rPr>
          <w:b/>
          <w:bCs/>
          <w:noProof/>
          <w:lang w:eastAsia="en-GB"/>
        </w:rPr>
        <w:t>-</w:t>
      </w:r>
      <w:r w:rsidR="00FB5CBA" w:rsidRPr="00302E47">
        <w:rPr>
          <w:b/>
          <w:bCs/>
          <w:noProof/>
          <w:lang w:eastAsia="en-GB"/>
        </w:rPr>
        <w:t>Level Adult Social Care Data</w:t>
      </w:r>
      <w:r w:rsidR="00FB5CBA">
        <w:rPr>
          <w:noProof/>
          <w:lang w:eastAsia="en-GB"/>
        </w:rPr>
        <w:t>)</w:t>
      </w:r>
      <w:r w:rsidR="00262A6D">
        <w:rPr>
          <w:noProof/>
          <w:lang w:eastAsia="en-GB"/>
        </w:rPr>
        <w:t xml:space="preserve">. The Councils  (Local Authorities) who have agreeed </w:t>
      </w:r>
      <w:r w:rsidR="00E51D60">
        <w:rPr>
          <w:noProof/>
          <w:lang w:eastAsia="en-GB"/>
        </w:rPr>
        <w:t xml:space="preserve">with NHS Digital </w:t>
      </w:r>
      <w:r w:rsidR="00262A6D">
        <w:rPr>
          <w:noProof/>
          <w:lang w:eastAsia="en-GB"/>
        </w:rPr>
        <w:t xml:space="preserve">to participate </w:t>
      </w:r>
      <w:r w:rsidR="00D91A3D">
        <w:rPr>
          <w:noProof/>
          <w:lang w:eastAsia="en-GB"/>
        </w:rPr>
        <w:t>will be identified in a list maintained by NHS Digital and published on their website</w:t>
      </w:r>
      <w:r w:rsidR="00EA4445">
        <w:rPr>
          <w:noProof/>
          <w:lang w:eastAsia="en-GB"/>
        </w:rPr>
        <w:t xml:space="preserve"> alongside this </w:t>
      </w:r>
      <w:r w:rsidR="00091D93">
        <w:rPr>
          <w:noProof/>
          <w:lang w:eastAsia="en-GB"/>
        </w:rPr>
        <w:t>D</w:t>
      </w:r>
      <w:r w:rsidR="00EA4445">
        <w:rPr>
          <w:noProof/>
          <w:lang w:eastAsia="en-GB"/>
        </w:rPr>
        <w:t>irection</w:t>
      </w:r>
      <w:r w:rsidRPr="00525E69">
        <w:rPr>
          <w:noProof/>
          <w:lang w:eastAsia="en-GB"/>
        </w:rPr>
        <w:t>;</w:t>
      </w:r>
    </w:p>
    <w:p w:rsidR="008258A1" w:rsidRPr="00807160" w:rsidRDefault="008258A1" w:rsidP="008258A1">
      <w:pPr>
        <w:pStyle w:val="ListParagraph"/>
        <w:numPr>
          <w:ilvl w:val="0"/>
          <w:numId w:val="1"/>
        </w:numPr>
        <w:rPr>
          <w:noProof/>
          <w:lang w:eastAsia="en-GB"/>
        </w:rPr>
      </w:pPr>
      <w:r w:rsidRPr="00E547B0">
        <w:rPr>
          <w:noProof/>
          <w:lang w:eastAsia="en-GB"/>
        </w:rPr>
        <w:t xml:space="preserve">Validate and undertake quality checks of the submitted </w:t>
      </w:r>
      <w:r w:rsidRPr="00531DA7">
        <w:rPr>
          <w:noProof/>
          <w:lang w:eastAsia="en-GB"/>
        </w:rPr>
        <w:t xml:space="preserve">data </w:t>
      </w:r>
      <w:r w:rsidR="00181EBC">
        <w:rPr>
          <w:noProof/>
          <w:lang w:eastAsia="en-GB"/>
        </w:rPr>
        <w:t xml:space="preserve">(using NHS Digital services and datasets) </w:t>
      </w:r>
      <w:r w:rsidRPr="00531DA7">
        <w:rPr>
          <w:noProof/>
          <w:lang w:eastAsia="en-GB"/>
        </w:rPr>
        <w:t>and provide feedback</w:t>
      </w:r>
      <w:r w:rsidR="00262A6D">
        <w:rPr>
          <w:noProof/>
          <w:lang w:eastAsia="en-GB"/>
        </w:rPr>
        <w:t xml:space="preserve"> on quality</w:t>
      </w:r>
      <w:r w:rsidRPr="00531DA7">
        <w:rPr>
          <w:noProof/>
          <w:lang w:eastAsia="en-GB"/>
        </w:rPr>
        <w:t xml:space="preserve"> to</w:t>
      </w:r>
      <w:r>
        <w:rPr>
          <w:noProof/>
          <w:lang w:eastAsia="en-GB"/>
        </w:rPr>
        <w:t xml:space="preserve"> CASSRs. Return any improved or enhanced data to the relevant Local Authority if requested</w:t>
      </w:r>
      <w:r w:rsidRPr="00807160">
        <w:rPr>
          <w:noProof/>
          <w:lang w:eastAsia="en-GB"/>
        </w:rPr>
        <w:t xml:space="preserve">; </w:t>
      </w:r>
    </w:p>
    <w:p w:rsidR="008258A1" w:rsidRDefault="008258A1" w:rsidP="008258A1">
      <w:pPr>
        <w:pStyle w:val="ListParagraph"/>
        <w:numPr>
          <w:ilvl w:val="0"/>
          <w:numId w:val="1"/>
        </w:numPr>
        <w:rPr>
          <w:noProof/>
          <w:lang w:eastAsia="en-GB"/>
        </w:rPr>
      </w:pPr>
      <w:r>
        <w:rPr>
          <w:noProof/>
          <w:lang w:eastAsia="en-GB"/>
        </w:rPr>
        <w:t>Check NHS Numbers and trace any missing ones (using NHS Digital services and datasets) where possible and provide missing or corrected NHS Numbers to the relevant Local Authorities;</w:t>
      </w:r>
    </w:p>
    <w:p w:rsidR="008258A1" w:rsidRPr="005D6DC6" w:rsidRDefault="008258A1" w:rsidP="008258A1">
      <w:pPr>
        <w:pStyle w:val="ListParagraph"/>
        <w:numPr>
          <w:ilvl w:val="0"/>
          <w:numId w:val="1"/>
        </w:numPr>
        <w:rPr>
          <w:noProof/>
          <w:lang w:eastAsia="en-GB"/>
        </w:rPr>
      </w:pPr>
      <w:r>
        <w:rPr>
          <w:noProof/>
          <w:lang w:eastAsia="en-GB"/>
        </w:rPr>
        <w:t>C</w:t>
      </w:r>
      <w:r w:rsidRPr="000B4F21">
        <w:rPr>
          <w:noProof/>
          <w:lang w:eastAsia="en-GB"/>
        </w:rPr>
        <w:t xml:space="preserve">arry out such analysis on </w:t>
      </w:r>
      <w:r>
        <w:rPr>
          <w:noProof/>
          <w:lang w:eastAsia="en-GB"/>
        </w:rPr>
        <w:t>the data</w:t>
      </w:r>
      <w:r w:rsidRPr="000B4F21">
        <w:rPr>
          <w:noProof/>
          <w:lang w:eastAsia="en-GB"/>
        </w:rPr>
        <w:t xml:space="preserve"> as NHS Digital considers appropriate and, in a manner, that NHS Digital considers appropriate, so as to enable and facilitate the achievement of the </w:t>
      </w:r>
      <w:r w:rsidRPr="005D6DC6">
        <w:rPr>
          <w:noProof/>
          <w:lang w:eastAsia="en-GB"/>
        </w:rPr>
        <w:t>Purpose for NHS Digital.</w:t>
      </w:r>
    </w:p>
    <w:p w:rsidR="008258A1" w:rsidRDefault="5AC05092" w:rsidP="008258A1">
      <w:pPr>
        <w:rPr>
          <w:lang w:eastAsia="en-GB"/>
        </w:rPr>
      </w:pPr>
      <w:bookmarkStart w:id="0" w:name="_Hlk57886299"/>
      <w:r w:rsidRPr="5AC05092">
        <w:rPr>
          <w:lang w:eastAsia="en-GB"/>
        </w:rPr>
        <w:t xml:space="preserve">NHS Digital is directed to carry out the activities above in accordance with the </w:t>
      </w:r>
      <w:r w:rsidRPr="5AC05092">
        <w:rPr>
          <w:b/>
          <w:bCs/>
          <w:lang w:eastAsia="en-GB"/>
        </w:rPr>
        <w:t>Client-Level Adult Social Care Data Set Requirements Specification</w:t>
      </w:r>
      <w:r w:rsidRPr="5AC05092">
        <w:rPr>
          <w:lang w:eastAsia="en-GB"/>
        </w:rPr>
        <w:t xml:space="preserve">, attached as </w:t>
      </w:r>
      <w:r w:rsidRPr="5AC05092">
        <w:rPr>
          <w:b/>
          <w:bCs/>
          <w:lang w:eastAsia="en-GB"/>
        </w:rPr>
        <w:t xml:space="preserve">Annex 2 </w:t>
      </w:r>
      <w:r w:rsidRPr="5AC05092">
        <w:rPr>
          <w:lang w:eastAsia="en-GB"/>
        </w:rPr>
        <w:t>to this Direction. The Annexes may be updated periodically by NHS Digital in agreement with the Department of Health and Social Care in line with the change management process documented in the Requirements Specification</w:t>
      </w:r>
      <w:r w:rsidR="00262A6D">
        <w:rPr>
          <w:lang w:eastAsia="en-GB"/>
        </w:rPr>
        <w:t xml:space="preserve"> and within the confines of this </w:t>
      </w:r>
      <w:r w:rsidR="00AA20EB">
        <w:rPr>
          <w:lang w:eastAsia="en-GB"/>
        </w:rPr>
        <w:t>Di</w:t>
      </w:r>
      <w:r w:rsidR="00262A6D">
        <w:rPr>
          <w:lang w:eastAsia="en-GB"/>
        </w:rPr>
        <w:t>rection</w:t>
      </w:r>
      <w:r w:rsidRPr="5AC05092">
        <w:rPr>
          <w:lang w:eastAsia="en-GB"/>
        </w:rPr>
        <w:t>.</w:t>
      </w:r>
    </w:p>
    <w:bookmarkEnd w:id="0"/>
    <w:p w:rsidR="00C81233" w:rsidRPr="00180BCA" w:rsidRDefault="00EB67D0" w:rsidP="005D6DC6">
      <w:pPr>
        <w:rPr>
          <w:lang w:eastAsia="en-GB"/>
        </w:rPr>
      </w:pPr>
      <w:r w:rsidRPr="00180BCA">
        <w:rPr>
          <w:lang w:eastAsia="en-GB"/>
        </w:rPr>
        <w:t>The operation of the collection</w:t>
      </w:r>
      <w:r w:rsidR="00D570BE" w:rsidRPr="00180BCA">
        <w:rPr>
          <w:lang w:eastAsia="en-GB"/>
        </w:rPr>
        <w:t>, as outlined above,</w:t>
      </w:r>
      <w:r w:rsidRPr="00180BCA">
        <w:rPr>
          <w:lang w:eastAsia="en-GB"/>
        </w:rPr>
        <w:t xml:space="preserve"> will be </w:t>
      </w:r>
      <w:r w:rsidR="00C81233" w:rsidRPr="00180BCA">
        <w:rPr>
          <w:lang w:eastAsia="en-GB"/>
        </w:rPr>
        <w:t xml:space="preserve">carried out </w:t>
      </w:r>
      <w:r w:rsidR="005D6DC6">
        <w:rPr>
          <w:lang w:eastAsia="en-GB"/>
        </w:rPr>
        <w:t xml:space="preserve">through </w:t>
      </w:r>
      <w:r w:rsidR="00251A02" w:rsidRPr="00180BCA">
        <w:rPr>
          <w:lang w:eastAsia="en-GB"/>
        </w:rPr>
        <w:t>NHS Digital</w:t>
      </w:r>
      <w:r w:rsidRPr="00180BCA">
        <w:rPr>
          <w:lang w:eastAsia="en-GB"/>
        </w:rPr>
        <w:t>’s Data Services for Commissioner’s Regional Offices (DSCROs)</w:t>
      </w:r>
      <w:r w:rsidR="00C81233" w:rsidRPr="00180BCA">
        <w:rPr>
          <w:lang w:eastAsia="en-GB"/>
        </w:rPr>
        <w:t xml:space="preserve"> </w:t>
      </w:r>
      <w:r w:rsidR="005D6DC6">
        <w:rPr>
          <w:lang w:eastAsia="en-GB"/>
        </w:rPr>
        <w:t xml:space="preserve">who </w:t>
      </w:r>
      <w:r w:rsidR="00C81233" w:rsidRPr="00180BCA">
        <w:rPr>
          <w:lang w:eastAsia="en-GB"/>
        </w:rPr>
        <w:t xml:space="preserve">will commence collection of data from </w:t>
      </w:r>
      <w:r w:rsidR="004F0362">
        <w:rPr>
          <w:lang w:eastAsia="en-GB"/>
        </w:rPr>
        <w:t xml:space="preserve">the participating </w:t>
      </w:r>
      <w:r w:rsidR="00C81233" w:rsidRPr="00180BCA">
        <w:rPr>
          <w:lang w:eastAsia="en-GB"/>
        </w:rPr>
        <w:t>Local Authorities, in accordance with the Client-Level Adult Social Care Data Set Requirements Specification, attached as Annex 2 to this Direction</w:t>
      </w:r>
      <w:r w:rsidR="00C83A92">
        <w:rPr>
          <w:lang w:eastAsia="en-GB"/>
        </w:rPr>
        <w:t xml:space="preserve">, and will carry out the activities specified in the above bulleted paragraphs. </w:t>
      </w:r>
    </w:p>
    <w:p w:rsidR="5AC05092" w:rsidRPr="00180BCA" w:rsidRDefault="5AC05092" w:rsidP="00302E47">
      <w:pPr>
        <w:pStyle w:val="ListParagraph"/>
        <w:numPr>
          <w:ilvl w:val="0"/>
          <w:numId w:val="8"/>
        </w:numPr>
        <w:spacing w:before="240"/>
        <w:rPr>
          <w:b/>
          <w:bCs/>
          <w:noProof/>
          <w:lang w:eastAsia="en-GB"/>
        </w:rPr>
      </w:pPr>
      <w:r w:rsidRPr="00180BCA">
        <w:rPr>
          <w:b/>
          <w:bCs/>
          <w:noProof/>
          <w:lang w:eastAsia="en-GB"/>
        </w:rPr>
        <w:t>System Delivery Functions</w:t>
      </w:r>
    </w:p>
    <w:p w:rsidR="5AC05092" w:rsidRDefault="5AC05092" w:rsidP="5AC05092">
      <w:pPr>
        <w:spacing w:after="0"/>
        <w:rPr>
          <w:rFonts w:eastAsia="Calibri"/>
        </w:rPr>
      </w:pPr>
      <w:r w:rsidRPr="5AC05092">
        <w:rPr>
          <w:rFonts w:eastAsia="Calibri"/>
        </w:rPr>
        <w:t>Pursuant to Regulation 32(1) of the Regulations, NHS Digital is further directed to exercise the following systems delivery functions of the Secretary of State:</w:t>
      </w:r>
    </w:p>
    <w:p w:rsidR="00A67E93" w:rsidRDefault="00A67E93" w:rsidP="5AC05092">
      <w:pPr>
        <w:spacing w:after="0"/>
        <w:rPr>
          <w:rFonts w:eastAsia="Calibri"/>
        </w:rPr>
      </w:pPr>
    </w:p>
    <w:p w:rsidR="5AC05092" w:rsidRPr="00D060F6" w:rsidRDefault="5AC05092" w:rsidP="5AC05092">
      <w:pPr>
        <w:pStyle w:val="ListParagraph"/>
        <w:numPr>
          <w:ilvl w:val="0"/>
          <w:numId w:val="2"/>
        </w:numPr>
        <w:spacing w:after="0"/>
        <w:rPr>
          <w:b/>
          <w:bCs/>
        </w:rPr>
      </w:pPr>
      <w:r w:rsidRPr="5AC05092">
        <w:rPr>
          <w:rFonts w:eastAsia="Calibri"/>
        </w:rPr>
        <w:t xml:space="preserve">the development and operation of IT applications, IT infrastructure and IT systems as would assist NHS Digital to facilitate the </w:t>
      </w:r>
      <w:r w:rsidR="00A9554A">
        <w:rPr>
          <w:rFonts w:eastAsia="Calibri"/>
        </w:rPr>
        <w:t>c</w:t>
      </w:r>
      <w:r w:rsidRPr="5AC05092">
        <w:rPr>
          <w:rFonts w:eastAsia="Calibri"/>
        </w:rPr>
        <w:t xml:space="preserve">ollection </w:t>
      </w:r>
      <w:r w:rsidR="00A9554A">
        <w:rPr>
          <w:rFonts w:eastAsia="Calibri"/>
        </w:rPr>
        <w:t xml:space="preserve">and analysis </w:t>
      </w:r>
      <w:r w:rsidRPr="5AC05092">
        <w:rPr>
          <w:rFonts w:eastAsia="Calibri"/>
        </w:rPr>
        <w:t>of Client-Level Adult Social Care Data.</w:t>
      </w:r>
    </w:p>
    <w:p w:rsidR="00F22671" w:rsidRPr="00D060F6" w:rsidRDefault="00F22671" w:rsidP="00D060F6">
      <w:pPr>
        <w:spacing w:after="0"/>
        <w:ind w:left="360"/>
        <w:rPr>
          <w:b/>
          <w:bCs/>
        </w:rPr>
      </w:pPr>
    </w:p>
    <w:p w:rsidR="00A66768" w:rsidRPr="008C3055" w:rsidRDefault="00A66768" w:rsidP="00302E47">
      <w:pPr>
        <w:pStyle w:val="ListParagraph"/>
        <w:numPr>
          <w:ilvl w:val="0"/>
          <w:numId w:val="8"/>
        </w:numPr>
        <w:spacing w:before="240"/>
        <w:rPr>
          <w:b/>
          <w:bCs/>
          <w:noProof/>
          <w:lang w:eastAsia="en-GB"/>
        </w:rPr>
      </w:pPr>
      <w:r w:rsidRPr="008C3055">
        <w:rPr>
          <w:b/>
          <w:bCs/>
          <w:noProof/>
          <w:lang w:eastAsia="en-GB"/>
        </w:rPr>
        <w:t>Publication</w:t>
      </w:r>
    </w:p>
    <w:p w:rsidR="00A66768" w:rsidRDefault="00A66768" w:rsidP="00A66768">
      <w:pPr>
        <w:rPr>
          <w:noProof/>
          <w:lang w:eastAsia="en-GB"/>
        </w:rPr>
      </w:pPr>
      <w:r w:rsidRPr="00A66768">
        <w:rPr>
          <w:noProof/>
          <w:lang w:eastAsia="en-GB"/>
        </w:rPr>
        <w:t>NHS Digital is directed to not publish information collected or produced by complying with this Direction,</w:t>
      </w:r>
      <w:r w:rsidR="00345437">
        <w:rPr>
          <w:noProof/>
          <w:lang w:eastAsia="en-GB"/>
        </w:rPr>
        <w:t xml:space="preserve"> </w:t>
      </w:r>
      <w:r w:rsidRPr="00A66768">
        <w:rPr>
          <w:noProof/>
          <w:lang w:eastAsia="en-GB"/>
        </w:rPr>
        <w:t xml:space="preserve">in accordance with section 260(2)(d) of the Act.  </w:t>
      </w:r>
    </w:p>
    <w:p w:rsidR="007219C5" w:rsidRDefault="007219C5" w:rsidP="00A66768">
      <w:pPr>
        <w:rPr>
          <w:noProof/>
          <w:lang w:eastAsia="en-GB"/>
        </w:rPr>
      </w:pPr>
    </w:p>
    <w:p w:rsidR="008258A1" w:rsidRDefault="008258A1" w:rsidP="00C63810">
      <w:pPr>
        <w:pStyle w:val="ListParagraph"/>
        <w:numPr>
          <w:ilvl w:val="0"/>
          <w:numId w:val="8"/>
        </w:numPr>
        <w:spacing w:before="240"/>
        <w:rPr>
          <w:b/>
          <w:bCs/>
          <w:noProof/>
          <w:lang w:eastAsia="en-GB"/>
        </w:rPr>
      </w:pPr>
      <w:r w:rsidRPr="00302E47">
        <w:rPr>
          <w:b/>
          <w:bCs/>
          <w:noProof/>
          <w:lang w:eastAsia="en-GB"/>
        </w:rPr>
        <w:t xml:space="preserve">Dissemination </w:t>
      </w:r>
    </w:p>
    <w:p w:rsidR="00023020" w:rsidRPr="00D060F6" w:rsidRDefault="00023020" w:rsidP="00D060F6">
      <w:pPr>
        <w:spacing w:before="240"/>
        <w:contextualSpacing/>
        <w:rPr>
          <w:b/>
          <w:bCs/>
          <w:noProof/>
          <w:lang w:eastAsia="en-GB"/>
        </w:rPr>
      </w:pPr>
    </w:p>
    <w:p w:rsidR="00302E47" w:rsidRDefault="007219C5" w:rsidP="00D060F6">
      <w:pPr>
        <w:pStyle w:val="ListParagraph"/>
        <w:numPr>
          <w:ilvl w:val="0"/>
          <w:numId w:val="10"/>
        </w:numPr>
        <w:tabs>
          <w:tab w:val="left" w:pos="567"/>
        </w:tabs>
      </w:pPr>
      <w:r>
        <w:tab/>
      </w:r>
      <w:r w:rsidR="007D40E1" w:rsidRPr="007D40E1">
        <w:t>Despite the prohibition on publication</w:t>
      </w:r>
      <w:r w:rsidR="00C548EF">
        <w:t xml:space="preserve"> under paragraph </w:t>
      </w:r>
      <w:r w:rsidR="006162AC">
        <w:t>5</w:t>
      </w:r>
      <w:r w:rsidR="00C548EF">
        <w:t xml:space="preserve"> above</w:t>
      </w:r>
      <w:r w:rsidR="007D40E1" w:rsidRPr="007D40E1">
        <w:t>, in accordance with section 261(2)(e) of the  Act, NHS Digital may disseminate</w:t>
      </w:r>
      <w:r w:rsidR="008C7E66">
        <w:t xml:space="preserve"> </w:t>
      </w:r>
      <w:r w:rsidR="003D6F45">
        <w:t xml:space="preserve">the </w:t>
      </w:r>
      <w:r w:rsidR="007D40E1" w:rsidRPr="007D40E1">
        <w:t xml:space="preserve">data </w:t>
      </w:r>
      <w:r w:rsidR="006C5E2D">
        <w:t>it has obtained</w:t>
      </w:r>
      <w:r w:rsidR="00144E76">
        <w:t xml:space="preserve"> under this direction</w:t>
      </w:r>
      <w:r w:rsidR="006C5E2D">
        <w:t xml:space="preserve"> under section 261(1) of the Act</w:t>
      </w:r>
      <w:r w:rsidR="007A7958">
        <w:t>,</w:t>
      </w:r>
      <w:r w:rsidR="006C5E2D" w:rsidRPr="007D40E1">
        <w:t xml:space="preserve"> </w:t>
      </w:r>
      <w:r w:rsidR="00C548EF">
        <w:t xml:space="preserve">where s261(1) would otherwise not apply due to the restriction in paragraph </w:t>
      </w:r>
      <w:r w:rsidR="006162AC">
        <w:t>5</w:t>
      </w:r>
      <w:r w:rsidR="00C548EF">
        <w:t xml:space="preserve"> above</w:t>
      </w:r>
      <w:r w:rsidR="00622A84">
        <w:t>.</w:t>
      </w:r>
      <w:r w:rsidR="0017701C">
        <w:t xml:space="preserve"> </w:t>
      </w:r>
    </w:p>
    <w:p w:rsidR="001A4C6D" w:rsidRPr="00EC7143" w:rsidRDefault="00871553">
      <w:pPr>
        <w:pStyle w:val="ListParagraph"/>
        <w:numPr>
          <w:ilvl w:val="0"/>
          <w:numId w:val="10"/>
        </w:numPr>
        <w:rPr>
          <w:noProof/>
          <w:lang w:eastAsia="en-GB"/>
        </w:rPr>
      </w:pPr>
      <w:r w:rsidRPr="00715CF7">
        <w:rPr>
          <w:rFonts w:cstheme="minorHAnsi"/>
        </w:rPr>
        <w:t>Under section 262(5) of</w:t>
      </w:r>
      <w:r w:rsidRPr="00BF3D35">
        <w:rPr>
          <w:rFonts w:cstheme="minorHAnsi"/>
        </w:rPr>
        <w:t xml:space="preserve"> the Act, NHSD is directed not to exercise its powers under sections</w:t>
      </w:r>
      <w:r w:rsidR="009B14C9" w:rsidRPr="00BF3D35">
        <w:rPr>
          <w:rFonts w:cstheme="minorHAnsi"/>
        </w:rPr>
        <w:t xml:space="preserve"> 261(1) </w:t>
      </w:r>
      <w:r w:rsidRPr="000A413A">
        <w:rPr>
          <w:rFonts w:cstheme="minorHAnsi"/>
        </w:rPr>
        <w:t>except as</w:t>
      </w:r>
      <w:r w:rsidR="009C7C27" w:rsidRPr="002859E3">
        <w:rPr>
          <w:rFonts w:cstheme="minorHAnsi"/>
        </w:rPr>
        <w:t xml:space="preserve"> set out</w:t>
      </w:r>
      <w:r w:rsidR="00487DB2">
        <w:rPr>
          <w:rFonts w:cstheme="minorHAnsi"/>
        </w:rPr>
        <w:t xml:space="preserve"> below</w:t>
      </w:r>
      <w:r w:rsidR="00B20EE9" w:rsidRPr="00BF3D35">
        <w:rPr>
          <w:rFonts w:cstheme="minorHAnsi"/>
        </w:rPr>
        <w:t>:</w:t>
      </w:r>
    </w:p>
    <w:p w:rsidR="00C548EF" w:rsidRDefault="00C548EF" w:rsidP="00EC7143">
      <w:pPr>
        <w:pStyle w:val="ListParagraph"/>
        <w:rPr>
          <w:noProof/>
          <w:lang w:eastAsia="en-GB"/>
        </w:rPr>
      </w:pPr>
    </w:p>
    <w:p w:rsidR="00910119" w:rsidRDefault="00910119" w:rsidP="00C548EF">
      <w:pPr>
        <w:pStyle w:val="ListParagraph"/>
        <w:numPr>
          <w:ilvl w:val="0"/>
          <w:numId w:val="4"/>
        </w:numPr>
        <w:rPr>
          <w:noProof/>
          <w:lang w:eastAsia="en-GB"/>
        </w:rPr>
      </w:pPr>
      <w:r>
        <w:rPr>
          <w:noProof/>
          <w:lang w:eastAsia="en-GB"/>
        </w:rPr>
        <w:t>NHS Digital may only d</w:t>
      </w:r>
      <w:r w:rsidR="006162AC">
        <w:rPr>
          <w:noProof/>
          <w:lang w:eastAsia="en-GB"/>
        </w:rPr>
        <w:t>i</w:t>
      </w:r>
      <w:r>
        <w:rPr>
          <w:noProof/>
          <w:lang w:eastAsia="en-GB"/>
        </w:rPr>
        <w:t xml:space="preserve">sseminate data </w:t>
      </w:r>
      <w:r w:rsidRPr="00910119">
        <w:rPr>
          <w:noProof/>
          <w:lang w:eastAsia="en-GB"/>
        </w:rPr>
        <w:t>to the limited set of bodies listed at Annex 3</w:t>
      </w:r>
      <w:r w:rsidR="00271328">
        <w:rPr>
          <w:noProof/>
          <w:lang w:eastAsia="en-GB"/>
        </w:rPr>
        <w:t>.</w:t>
      </w:r>
    </w:p>
    <w:p w:rsidR="00C548EF" w:rsidRPr="00C548EF" w:rsidRDefault="00C548EF" w:rsidP="00C548EF">
      <w:pPr>
        <w:pStyle w:val="ListParagraph"/>
        <w:numPr>
          <w:ilvl w:val="0"/>
          <w:numId w:val="4"/>
        </w:numPr>
        <w:rPr>
          <w:noProof/>
          <w:lang w:eastAsia="en-GB"/>
        </w:rPr>
      </w:pPr>
      <w:r w:rsidRPr="00C548EF">
        <w:rPr>
          <w:noProof/>
          <w:lang w:eastAsia="en-GB"/>
        </w:rPr>
        <w:t xml:space="preserve">The </w:t>
      </w:r>
      <w:r w:rsidR="00255D34">
        <w:rPr>
          <w:noProof/>
          <w:lang w:eastAsia="en-GB"/>
        </w:rPr>
        <w:t>data</w:t>
      </w:r>
      <w:r w:rsidRPr="00C548EF">
        <w:rPr>
          <w:noProof/>
          <w:lang w:eastAsia="en-GB"/>
        </w:rPr>
        <w:t xml:space="preserve"> disseminated will be </w:t>
      </w:r>
      <w:r w:rsidR="00DB4F08" w:rsidRPr="007D40E1">
        <w:t>pseudonymised</w:t>
      </w:r>
      <w:r w:rsidR="00DB4F08">
        <w:rPr>
          <w:rStyle w:val="FootnoteReference"/>
        </w:rPr>
        <w:footnoteReference w:id="5"/>
      </w:r>
      <w:r w:rsidR="00A860A4">
        <w:t xml:space="preserve"> </w:t>
      </w:r>
      <w:r w:rsidR="00CE71E7">
        <w:rPr>
          <w:noProof/>
          <w:lang w:eastAsia="en-GB"/>
        </w:rPr>
        <w:t>data whe</w:t>
      </w:r>
      <w:r w:rsidR="00B33D09">
        <w:rPr>
          <w:noProof/>
          <w:lang w:eastAsia="en-GB"/>
        </w:rPr>
        <w:t>re a</w:t>
      </w:r>
      <w:r w:rsidR="00255D34">
        <w:rPr>
          <w:noProof/>
          <w:lang w:eastAsia="en-GB"/>
        </w:rPr>
        <w:t>n appropriate</w:t>
      </w:r>
      <w:r w:rsidR="00B33D09">
        <w:rPr>
          <w:noProof/>
          <w:lang w:eastAsia="en-GB"/>
        </w:rPr>
        <w:t xml:space="preserve"> legal basis </w:t>
      </w:r>
      <w:r w:rsidR="00255D34">
        <w:rPr>
          <w:noProof/>
          <w:lang w:eastAsia="en-GB"/>
        </w:rPr>
        <w:t xml:space="preserve">exists, or the data wil be </w:t>
      </w:r>
      <w:r w:rsidRPr="00C548EF">
        <w:rPr>
          <w:noProof/>
          <w:lang w:eastAsia="en-GB"/>
        </w:rPr>
        <w:t xml:space="preserve">anonymised in accordance with the Information Commissioner’s Office Anonymisation </w:t>
      </w:r>
      <w:r w:rsidR="00943076" w:rsidRPr="00622A84">
        <w:t>Code of Practice</w:t>
      </w:r>
      <w:r w:rsidR="00943076">
        <w:rPr>
          <w:rStyle w:val="FootnoteReference"/>
        </w:rPr>
        <w:footnoteReference w:id="6"/>
      </w:r>
      <w:r w:rsidR="00943076" w:rsidRPr="00622A84">
        <w:t>.</w:t>
      </w:r>
      <w:r w:rsidRPr="00C548EF">
        <w:rPr>
          <w:noProof/>
          <w:lang w:eastAsia="en-GB"/>
        </w:rPr>
        <w:t xml:space="preserve"> Such disseminations will be subject to successful applications being made by those bodies to the NHS Digital DARS</w:t>
      </w:r>
      <w:r w:rsidR="00271328">
        <w:rPr>
          <w:noProof/>
          <w:lang w:eastAsia="en-GB"/>
        </w:rPr>
        <w:t>.</w:t>
      </w:r>
    </w:p>
    <w:p w:rsidR="001A4C6D" w:rsidRDefault="001A4C6D" w:rsidP="001A4C6D">
      <w:pPr>
        <w:pStyle w:val="ListParagraph"/>
        <w:numPr>
          <w:ilvl w:val="0"/>
          <w:numId w:val="4"/>
        </w:numPr>
        <w:rPr>
          <w:noProof/>
          <w:lang w:eastAsia="en-GB"/>
        </w:rPr>
      </w:pPr>
      <w:r>
        <w:rPr>
          <w:noProof/>
          <w:lang w:eastAsia="en-GB"/>
        </w:rPr>
        <w:t xml:space="preserve">Local Authorities and </w:t>
      </w:r>
      <w:r w:rsidR="00F25B15">
        <w:rPr>
          <w:noProof/>
          <w:lang w:eastAsia="en-GB"/>
        </w:rPr>
        <w:t>C</w:t>
      </w:r>
      <w:r w:rsidR="00264198">
        <w:rPr>
          <w:noProof/>
          <w:lang w:eastAsia="en-GB"/>
        </w:rPr>
        <w:t>ommissioning</w:t>
      </w:r>
      <w:r w:rsidR="00F25B15">
        <w:rPr>
          <w:noProof/>
          <w:lang w:eastAsia="en-GB"/>
        </w:rPr>
        <w:t xml:space="preserve"> Support Units</w:t>
      </w:r>
      <w:r w:rsidR="00120DD1">
        <w:rPr>
          <w:noProof/>
          <w:lang w:eastAsia="en-GB"/>
        </w:rPr>
        <w:t xml:space="preserve"> </w:t>
      </w:r>
      <w:r w:rsidR="00F41BE2">
        <w:rPr>
          <w:noProof/>
          <w:lang w:eastAsia="en-GB"/>
        </w:rPr>
        <w:t>as set out in</w:t>
      </w:r>
      <w:r w:rsidR="00264198">
        <w:rPr>
          <w:noProof/>
          <w:lang w:eastAsia="en-GB"/>
        </w:rPr>
        <w:t xml:space="preserve"> </w:t>
      </w:r>
      <w:r w:rsidR="00120DD1">
        <w:rPr>
          <w:noProof/>
          <w:lang w:eastAsia="en-GB"/>
        </w:rPr>
        <w:t>A</w:t>
      </w:r>
      <w:r w:rsidR="004866A4">
        <w:rPr>
          <w:noProof/>
          <w:lang w:eastAsia="en-GB"/>
        </w:rPr>
        <w:t>nne</w:t>
      </w:r>
      <w:r w:rsidR="00120DD1">
        <w:rPr>
          <w:noProof/>
          <w:lang w:eastAsia="en-GB"/>
        </w:rPr>
        <w:t>x 3</w:t>
      </w:r>
      <w:r>
        <w:rPr>
          <w:noProof/>
          <w:lang w:eastAsia="en-GB"/>
        </w:rPr>
        <w:t xml:space="preserve"> </w:t>
      </w:r>
      <w:r w:rsidR="00D303BB" w:rsidRPr="000413E7">
        <w:rPr>
          <w:noProof/>
          <w:color w:val="000000" w:themeColor="text1"/>
          <w:lang w:eastAsia="en-GB"/>
        </w:rPr>
        <w:t>may</w:t>
      </w:r>
      <w:r w:rsidR="0009629F">
        <w:rPr>
          <w:noProof/>
          <w:color w:val="000000" w:themeColor="text1"/>
          <w:lang w:eastAsia="en-GB"/>
        </w:rPr>
        <w:t>,</w:t>
      </w:r>
      <w:r w:rsidR="00D303BB" w:rsidRPr="000413E7">
        <w:rPr>
          <w:noProof/>
          <w:color w:val="000000" w:themeColor="text1"/>
          <w:lang w:eastAsia="en-GB"/>
        </w:rPr>
        <w:t xml:space="preserve"> </w:t>
      </w:r>
      <w:r w:rsidR="0009629F">
        <w:rPr>
          <w:noProof/>
          <w:lang w:eastAsia="en-GB"/>
        </w:rPr>
        <w:t xml:space="preserve">subject to an appropriate legal basis, </w:t>
      </w:r>
      <w:r>
        <w:rPr>
          <w:noProof/>
          <w:lang w:eastAsia="en-GB"/>
        </w:rPr>
        <w:t xml:space="preserve">have access to </w:t>
      </w:r>
      <w:r w:rsidR="00CC5009">
        <w:rPr>
          <w:noProof/>
          <w:lang w:eastAsia="en-GB"/>
        </w:rPr>
        <w:t xml:space="preserve">pseudonymised </w:t>
      </w:r>
      <w:r>
        <w:rPr>
          <w:noProof/>
          <w:lang w:eastAsia="en-GB"/>
        </w:rPr>
        <w:t xml:space="preserve">data </w:t>
      </w:r>
      <w:r w:rsidR="00CC5009">
        <w:rPr>
          <w:noProof/>
          <w:lang w:eastAsia="en-GB"/>
        </w:rPr>
        <w:t>for their own patients and care users</w:t>
      </w:r>
      <w:r w:rsidR="00C4785F">
        <w:rPr>
          <w:noProof/>
          <w:lang w:eastAsia="en-GB"/>
        </w:rPr>
        <w:t xml:space="preserve"> as in </w:t>
      </w:r>
      <w:r w:rsidR="0018667D">
        <w:rPr>
          <w:noProof/>
          <w:lang w:eastAsia="en-GB"/>
        </w:rPr>
        <w:t xml:space="preserve">the </w:t>
      </w:r>
      <w:r>
        <w:rPr>
          <w:noProof/>
          <w:lang w:eastAsia="en-GB"/>
        </w:rPr>
        <w:t>standard core specification</w:t>
      </w:r>
      <w:r w:rsidR="002D595F">
        <w:rPr>
          <w:noProof/>
          <w:lang w:eastAsia="en-GB"/>
        </w:rPr>
        <w:t xml:space="preserve"> </w:t>
      </w:r>
      <w:r w:rsidR="00C4785F">
        <w:rPr>
          <w:noProof/>
          <w:lang w:eastAsia="en-GB"/>
        </w:rPr>
        <w:t>at</w:t>
      </w:r>
      <w:r w:rsidR="0018667D">
        <w:rPr>
          <w:noProof/>
          <w:lang w:eastAsia="en-GB"/>
        </w:rPr>
        <w:t xml:space="preserve"> Annex 2 </w:t>
      </w:r>
      <w:r w:rsidR="002D595F">
        <w:rPr>
          <w:noProof/>
          <w:lang w:eastAsia="en-GB"/>
        </w:rPr>
        <w:t>for the LA data</w:t>
      </w:r>
      <w:r w:rsidR="00E720E6">
        <w:rPr>
          <w:noProof/>
          <w:lang w:eastAsia="en-GB"/>
        </w:rPr>
        <w:t xml:space="preserve">, </w:t>
      </w:r>
      <w:r>
        <w:rPr>
          <w:noProof/>
          <w:lang w:eastAsia="en-GB"/>
        </w:rPr>
        <w:t>with voluntary local added data items, to support them in their duty of monitoring and managing the local system</w:t>
      </w:r>
      <w:r w:rsidR="009F4AAE">
        <w:rPr>
          <w:noProof/>
          <w:lang w:eastAsia="en-GB"/>
        </w:rPr>
        <w:t>.</w:t>
      </w:r>
    </w:p>
    <w:p w:rsidR="00F76F00" w:rsidRPr="008806FC" w:rsidRDefault="001A4C6D" w:rsidP="00180BCA">
      <w:pPr>
        <w:pStyle w:val="ListParagraph"/>
        <w:numPr>
          <w:ilvl w:val="0"/>
          <w:numId w:val="4"/>
        </w:numPr>
        <w:rPr>
          <w:noProof/>
          <w:lang w:eastAsia="en-GB"/>
        </w:rPr>
      </w:pPr>
      <w:r w:rsidRPr="008806FC">
        <w:rPr>
          <w:noProof/>
          <w:lang w:eastAsia="en-GB"/>
        </w:rPr>
        <w:t xml:space="preserve">Benchmarking between local areas will be enabled, through a combined </w:t>
      </w:r>
      <w:r w:rsidR="00E720E6" w:rsidRPr="008806FC">
        <w:rPr>
          <w:noProof/>
          <w:lang w:eastAsia="en-GB"/>
        </w:rPr>
        <w:t xml:space="preserve">core </w:t>
      </w:r>
      <w:r w:rsidR="00A05440">
        <w:rPr>
          <w:noProof/>
          <w:lang w:eastAsia="en-GB"/>
        </w:rPr>
        <w:t>ano</w:t>
      </w:r>
      <w:r w:rsidR="00A05440" w:rsidRPr="008806FC">
        <w:rPr>
          <w:noProof/>
          <w:lang w:eastAsia="en-GB"/>
        </w:rPr>
        <w:t xml:space="preserve">nymised </w:t>
      </w:r>
      <w:r w:rsidRPr="008806FC">
        <w:rPr>
          <w:noProof/>
          <w:lang w:eastAsia="en-GB"/>
        </w:rPr>
        <w:t>dataset and derived aggregate reports with small number suppression.</w:t>
      </w:r>
      <w:r w:rsidRPr="008806FC">
        <w:rPr>
          <w:strike/>
          <w:noProof/>
          <w:lang w:eastAsia="en-GB"/>
        </w:rPr>
        <w:t xml:space="preserve"> </w:t>
      </w:r>
    </w:p>
    <w:p w:rsidR="001A4C6D" w:rsidRPr="000413E7" w:rsidRDefault="00F76F00" w:rsidP="001A4C6D">
      <w:pPr>
        <w:pStyle w:val="ListParagraph"/>
        <w:numPr>
          <w:ilvl w:val="0"/>
          <w:numId w:val="4"/>
        </w:numPr>
        <w:rPr>
          <w:noProof/>
          <w:color w:val="000000" w:themeColor="text1"/>
          <w:lang w:eastAsia="en-GB"/>
        </w:rPr>
      </w:pPr>
      <w:r w:rsidRPr="000413E7">
        <w:rPr>
          <w:noProof/>
          <w:color w:val="000000" w:themeColor="text1"/>
          <w:lang w:eastAsia="en-GB"/>
        </w:rPr>
        <w:t xml:space="preserve">ADASS </w:t>
      </w:r>
      <w:r w:rsidR="001A4C6D" w:rsidRPr="000413E7">
        <w:rPr>
          <w:noProof/>
          <w:color w:val="000000" w:themeColor="text1"/>
          <w:lang w:eastAsia="en-GB"/>
        </w:rPr>
        <w:t xml:space="preserve"> </w:t>
      </w:r>
      <w:r w:rsidR="000413E7" w:rsidRPr="000413E7">
        <w:rPr>
          <w:noProof/>
          <w:color w:val="000000" w:themeColor="text1"/>
          <w:lang w:eastAsia="en-GB"/>
        </w:rPr>
        <w:t>may</w:t>
      </w:r>
      <w:r w:rsidR="001A4C6D" w:rsidRPr="000413E7">
        <w:rPr>
          <w:noProof/>
          <w:color w:val="000000" w:themeColor="text1"/>
          <w:lang w:eastAsia="en-GB"/>
        </w:rPr>
        <w:t xml:space="preserve"> access relevant subsets of the combined data, </w:t>
      </w:r>
      <w:r w:rsidR="00E720E6" w:rsidRPr="000413E7">
        <w:rPr>
          <w:noProof/>
          <w:color w:val="000000" w:themeColor="text1"/>
          <w:lang w:eastAsia="en-GB"/>
        </w:rPr>
        <w:t xml:space="preserve">for </w:t>
      </w:r>
      <w:r w:rsidR="001A4C6D" w:rsidRPr="000413E7">
        <w:rPr>
          <w:noProof/>
          <w:color w:val="000000" w:themeColor="text1"/>
          <w:lang w:eastAsia="en-GB"/>
        </w:rPr>
        <w:t xml:space="preserve">their responsibilities in supporting local performance.  The body receiving the data is expected to be </w:t>
      </w:r>
      <w:r w:rsidR="00E720E6" w:rsidRPr="000413E7">
        <w:rPr>
          <w:noProof/>
          <w:color w:val="000000" w:themeColor="text1"/>
          <w:lang w:eastAsia="en-GB"/>
        </w:rPr>
        <w:t>a Data Processor acting for ADASS.</w:t>
      </w:r>
    </w:p>
    <w:p w:rsidR="00E720E6" w:rsidRPr="000413E7" w:rsidRDefault="00E720E6" w:rsidP="001A4C6D">
      <w:pPr>
        <w:pStyle w:val="ListParagraph"/>
        <w:numPr>
          <w:ilvl w:val="0"/>
          <w:numId w:val="4"/>
        </w:numPr>
        <w:rPr>
          <w:noProof/>
          <w:color w:val="000000" w:themeColor="text1"/>
          <w:lang w:eastAsia="en-GB"/>
        </w:rPr>
      </w:pPr>
      <w:r w:rsidRPr="000413E7">
        <w:rPr>
          <w:noProof/>
          <w:color w:val="000000" w:themeColor="text1"/>
          <w:lang w:eastAsia="en-GB"/>
        </w:rPr>
        <w:t xml:space="preserve">In order to commission the benchmark work, DHSC </w:t>
      </w:r>
      <w:r w:rsidR="00CD28EA" w:rsidRPr="000413E7">
        <w:rPr>
          <w:noProof/>
          <w:color w:val="000000" w:themeColor="text1"/>
          <w:lang w:eastAsia="en-GB"/>
        </w:rPr>
        <w:t xml:space="preserve">may </w:t>
      </w:r>
      <w:r w:rsidRPr="000413E7">
        <w:rPr>
          <w:noProof/>
          <w:color w:val="000000" w:themeColor="text1"/>
          <w:lang w:eastAsia="en-GB"/>
        </w:rPr>
        <w:t>access the combined data</w:t>
      </w:r>
      <w:r w:rsidR="00BC7F6F" w:rsidRPr="000413E7">
        <w:rPr>
          <w:noProof/>
          <w:color w:val="000000" w:themeColor="text1"/>
          <w:lang w:eastAsia="en-GB"/>
        </w:rPr>
        <w:t xml:space="preserve">.  It </w:t>
      </w:r>
      <w:r w:rsidR="00CD28EA" w:rsidRPr="000413E7">
        <w:rPr>
          <w:noProof/>
          <w:color w:val="000000" w:themeColor="text1"/>
          <w:lang w:eastAsia="en-GB"/>
        </w:rPr>
        <w:t xml:space="preserve">may also </w:t>
      </w:r>
      <w:r w:rsidR="00BC7F6F" w:rsidRPr="000413E7">
        <w:rPr>
          <w:noProof/>
          <w:color w:val="000000" w:themeColor="text1"/>
          <w:lang w:eastAsia="en-GB"/>
        </w:rPr>
        <w:t xml:space="preserve">have access </w:t>
      </w:r>
      <w:r w:rsidRPr="000413E7">
        <w:rPr>
          <w:noProof/>
          <w:color w:val="000000" w:themeColor="text1"/>
          <w:lang w:eastAsia="en-GB"/>
        </w:rPr>
        <w:t>in order undertake analysis to support national oversight.</w:t>
      </w:r>
    </w:p>
    <w:p w:rsidR="008258A1" w:rsidRPr="000413E7" w:rsidRDefault="00E720E6" w:rsidP="009E6821">
      <w:pPr>
        <w:pStyle w:val="ListParagraph"/>
        <w:numPr>
          <w:ilvl w:val="0"/>
          <w:numId w:val="4"/>
        </w:numPr>
        <w:spacing w:after="0"/>
        <w:rPr>
          <w:noProof/>
          <w:color w:val="000000" w:themeColor="text1"/>
          <w:lang w:eastAsia="en-GB"/>
        </w:rPr>
      </w:pPr>
      <w:r w:rsidRPr="000413E7">
        <w:rPr>
          <w:noProof/>
          <w:color w:val="000000" w:themeColor="text1"/>
          <w:lang w:eastAsia="en-GB"/>
        </w:rPr>
        <w:t>Selected research bodies</w:t>
      </w:r>
      <w:r w:rsidR="000B734C">
        <w:rPr>
          <w:noProof/>
          <w:color w:val="000000" w:themeColor="text1"/>
          <w:lang w:eastAsia="en-GB"/>
        </w:rPr>
        <w:t>,</w:t>
      </w:r>
      <w:r w:rsidRPr="000413E7">
        <w:rPr>
          <w:noProof/>
          <w:color w:val="000000" w:themeColor="text1"/>
          <w:lang w:eastAsia="en-GB"/>
        </w:rPr>
        <w:t xml:space="preserve"> </w:t>
      </w:r>
      <w:r w:rsidR="00954754" w:rsidRPr="000413E7">
        <w:rPr>
          <w:noProof/>
          <w:color w:val="000000" w:themeColor="text1"/>
          <w:lang w:eastAsia="en-GB"/>
        </w:rPr>
        <w:t>as listed in Annex 3</w:t>
      </w:r>
      <w:r w:rsidR="000B734C">
        <w:rPr>
          <w:noProof/>
          <w:color w:val="000000" w:themeColor="text1"/>
          <w:lang w:eastAsia="en-GB"/>
        </w:rPr>
        <w:t xml:space="preserve">, </w:t>
      </w:r>
      <w:r w:rsidRPr="000413E7">
        <w:rPr>
          <w:noProof/>
          <w:color w:val="000000" w:themeColor="text1"/>
          <w:lang w:eastAsia="en-GB"/>
        </w:rPr>
        <w:t xml:space="preserve">funded by the National Institute for Health Research, </w:t>
      </w:r>
      <w:r w:rsidR="008C09B1">
        <w:rPr>
          <w:noProof/>
          <w:color w:val="000000" w:themeColor="text1"/>
          <w:lang w:eastAsia="en-GB"/>
        </w:rPr>
        <w:t>(</w:t>
      </w:r>
      <w:r w:rsidRPr="000413E7">
        <w:rPr>
          <w:noProof/>
          <w:color w:val="000000" w:themeColor="text1"/>
          <w:lang w:eastAsia="en-GB"/>
        </w:rPr>
        <w:t>NIHR</w:t>
      </w:r>
      <w:r w:rsidR="008C09B1">
        <w:rPr>
          <w:noProof/>
          <w:color w:val="000000" w:themeColor="text1"/>
          <w:lang w:eastAsia="en-GB"/>
        </w:rPr>
        <w:t>)</w:t>
      </w:r>
      <w:r w:rsidRPr="000413E7">
        <w:rPr>
          <w:noProof/>
          <w:color w:val="000000" w:themeColor="text1"/>
          <w:lang w:eastAsia="en-GB"/>
        </w:rPr>
        <w:t xml:space="preserve">, </w:t>
      </w:r>
      <w:r w:rsidR="00CD28EA" w:rsidRPr="000413E7">
        <w:rPr>
          <w:noProof/>
          <w:color w:val="000000" w:themeColor="text1"/>
          <w:lang w:eastAsia="en-GB"/>
        </w:rPr>
        <w:t xml:space="preserve">may </w:t>
      </w:r>
      <w:r w:rsidRPr="000413E7">
        <w:rPr>
          <w:noProof/>
          <w:color w:val="000000" w:themeColor="text1"/>
          <w:lang w:eastAsia="en-GB"/>
        </w:rPr>
        <w:t xml:space="preserve">have access to the combined data,. In addition, a limited number of projects and programmes approved </w:t>
      </w:r>
      <w:r w:rsidR="00F76F00" w:rsidRPr="000413E7">
        <w:rPr>
          <w:noProof/>
          <w:color w:val="000000" w:themeColor="text1"/>
          <w:lang w:eastAsia="en-GB"/>
        </w:rPr>
        <w:t xml:space="preserve">jointly </w:t>
      </w:r>
      <w:r w:rsidRPr="000413E7">
        <w:rPr>
          <w:noProof/>
          <w:color w:val="000000" w:themeColor="text1"/>
          <w:lang w:eastAsia="en-GB"/>
        </w:rPr>
        <w:t>by</w:t>
      </w:r>
      <w:r w:rsidR="00F76F00" w:rsidRPr="000413E7">
        <w:rPr>
          <w:noProof/>
          <w:color w:val="000000" w:themeColor="text1"/>
          <w:lang w:eastAsia="en-GB"/>
        </w:rPr>
        <w:t xml:space="preserve"> DHSC and ADASS in the subgroup of the Data and Outcomes Board, </w:t>
      </w:r>
      <w:r w:rsidR="003E1CCC" w:rsidRPr="000413E7">
        <w:rPr>
          <w:noProof/>
          <w:color w:val="000000" w:themeColor="text1"/>
          <w:lang w:eastAsia="en-GB"/>
        </w:rPr>
        <w:t>as set out in Annex 3</w:t>
      </w:r>
      <w:r w:rsidR="003E1CCC">
        <w:rPr>
          <w:noProof/>
          <w:color w:val="000000" w:themeColor="text1"/>
          <w:lang w:eastAsia="en-GB"/>
        </w:rPr>
        <w:t xml:space="preserve">, </w:t>
      </w:r>
      <w:r w:rsidR="00CD28EA" w:rsidRPr="000413E7">
        <w:rPr>
          <w:noProof/>
          <w:color w:val="000000" w:themeColor="text1"/>
          <w:lang w:eastAsia="en-GB"/>
        </w:rPr>
        <w:t xml:space="preserve">may </w:t>
      </w:r>
      <w:r w:rsidR="00740530" w:rsidRPr="000413E7">
        <w:rPr>
          <w:noProof/>
          <w:color w:val="000000" w:themeColor="text1"/>
          <w:lang w:eastAsia="en-GB"/>
        </w:rPr>
        <w:t xml:space="preserve">be able to </w:t>
      </w:r>
      <w:r w:rsidRPr="000413E7">
        <w:rPr>
          <w:noProof/>
          <w:color w:val="000000" w:themeColor="text1"/>
          <w:lang w:eastAsia="en-GB"/>
        </w:rPr>
        <w:t>have such access</w:t>
      </w:r>
    </w:p>
    <w:p w:rsidR="00D236A0" w:rsidRDefault="00D236A0" w:rsidP="00D236A0">
      <w:pPr>
        <w:spacing w:after="0"/>
        <w:rPr>
          <w:rFonts w:cstheme="minorHAnsi"/>
        </w:rPr>
      </w:pPr>
    </w:p>
    <w:p w:rsidR="008258A1" w:rsidRPr="00D236A0" w:rsidRDefault="72D047BD" w:rsidP="72D047BD">
      <w:pPr>
        <w:spacing w:after="0"/>
      </w:pPr>
      <w:r w:rsidRPr="72D047BD">
        <w:t xml:space="preserve">All </w:t>
      </w:r>
      <w:r w:rsidR="0043249B">
        <w:t>d</w:t>
      </w:r>
      <w:r w:rsidRPr="72D047BD">
        <w:t>isseminations above will be subject to</w:t>
      </w:r>
      <w:r w:rsidR="002200F5">
        <w:t xml:space="preserve"> the organisations applying to access the data having a lawful basis to </w:t>
      </w:r>
      <w:r w:rsidR="00FF7953">
        <w:t>process it</w:t>
      </w:r>
      <w:r w:rsidR="00841067">
        <w:t>, NHS Digital having a lawful basis to disclose it</w:t>
      </w:r>
      <w:r w:rsidR="00FF7953">
        <w:t xml:space="preserve"> and</w:t>
      </w:r>
      <w:r w:rsidRPr="72D047BD">
        <w:t xml:space="preserve"> successful applications being made to the NHS Digital Data Access Request Service (DARS).</w:t>
      </w:r>
    </w:p>
    <w:p w:rsidR="0043249B" w:rsidRDefault="0043249B" w:rsidP="0043249B">
      <w:pPr>
        <w:spacing w:after="0" w:line="240" w:lineRule="auto"/>
        <w:rPr>
          <w:rFonts w:cstheme="minorHAnsi"/>
          <w:b/>
          <w:bCs/>
        </w:rPr>
      </w:pPr>
    </w:p>
    <w:p w:rsidR="0043249B" w:rsidRPr="00B3710E" w:rsidRDefault="0043249B" w:rsidP="00B3710E">
      <w:pPr>
        <w:pStyle w:val="ListParagraph"/>
        <w:numPr>
          <w:ilvl w:val="0"/>
          <w:numId w:val="8"/>
        </w:numPr>
        <w:rPr>
          <w:rFonts w:cstheme="minorHAnsi"/>
          <w:b/>
          <w:bCs/>
        </w:rPr>
      </w:pPr>
      <w:r w:rsidRPr="00B3710E">
        <w:rPr>
          <w:rFonts w:cstheme="minorHAnsi"/>
          <w:b/>
          <w:bCs/>
        </w:rPr>
        <w:t>Fees and Accounts</w:t>
      </w:r>
    </w:p>
    <w:p w:rsidR="004B73F0" w:rsidRDefault="0043249B" w:rsidP="00304B0A">
      <w:pPr>
        <w:rPr>
          <w:lang w:bidi="en-GB"/>
        </w:rPr>
      </w:pPr>
      <w:r>
        <w:rPr>
          <w:lang w:bidi="en-GB"/>
        </w:rPr>
        <w:t>I</w:t>
      </w:r>
      <w:r w:rsidR="004B73F0" w:rsidRPr="004B73F0">
        <w:rPr>
          <w:lang w:bidi="en-GB"/>
        </w:rPr>
        <w:t xml:space="preserve">n accordance with regulation 32(2)(a) of the Regulations, the Secretary of State may make payments to NHS Digital for things done in connection with the exercise of the systems delivery functions referred to </w:t>
      </w:r>
      <w:r w:rsidR="005D2B66">
        <w:rPr>
          <w:lang w:bidi="en-GB"/>
        </w:rPr>
        <w:t xml:space="preserve">in paragraph 4 </w:t>
      </w:r>
      <w:r w:rsidR="004B73F0" w:rsidRPr="004B73F0">
        <w:rPr>
          <w:lang w:bidi="en-GB"/>
        </w:rPr>
        <w:t>above</w:t>
      </w:r>
      <w:r w:rsidR="004B73F0">
        <w:rPr>
          <w:lang w:bidi="en-GB"/>
        </w:rPr>
        <w:t>.</w:t>
      </w:r>
    </w:p>
    <w:p w:rsidR="00771ADC" w:rsidRPr="00B3710E" w:rsidRDefault="00771ADC" w:rsidP="00B3710E">
      <w:pPr>
        <w:pStyle w:val="ListParagraph"/>
        <w:numPr>
          <w:ilvl w:val="0"/>
          <w:numId w:val="8"/>
        </w:numPr>
        <w:rPr>
          <w:b/>
          <w:bCs/>
        </w:rPr>
      </w:pPr>
      <w:r w:rsidRPr="00B3710E">
        <w:rPr>
          <w:b/>
          <w:bCs/>
        </w:rPr>
        <w:t>Duration</w:t>
      </w:r>
    </w:p>
    <w:p w:rsidR="00771ADC" w:rsidRPr="00771ADC" w:rsidRDefault="00771ADC" w:rsidP="00771ADC">
      <w:r w:rsidRPr="00771ADC">
        <w:t xml:space="preserve">NHS Digital is directed to operate the </w:t>
      </w:r>
      <w:r w:rsidR="0039299A" w:rsidRPr="00771ADC">
        <w:rPr>
          <w:bCs/>
        </w:rPr>
        <w:t xml:space="preserve">Information System </w:t>
      </w:r>
      <w:r w:rsidR="0039299A" w:rsidRPr="00771ADC">
        <w:t>and undertake the system delivery function</w:t>
      </w:r>
      <w:r w:rsidR="0039299A">
        <w:t xml:space="preserve"> </w:t>
      </w:r>
      <w:r w:rsidR="003F4CDB" w:rsidRPr="00771ADC">
        <w:t xml:space="preserve">referred to above </w:t>
      </w:r>
      <w:r w:rsidR="0039299A">
        <w:t>for the</w:t>
      </w:r>
      <w:r w:rsidR="0039299A" w:rsidRPr="00771ADC">
        <w:t xml:space="preserve"> </w:t>
      </w:r>
      <w:r w:rsidRPr="00771ADC">
        <w:rPr>
          <w:b/>
          <w:bCs/>
        </w:rPr>
        <w:t>Collection of Client-Level Adult Social Care Data (No.2)</w:t>
      </w:r>
      <w:r w:rsidRPr="00771ADC">
        <w:rPr>
          <w:bCs/>
        </w:rPr>
        <w:t xml:space="preserve"> </w:t>
      </w:r>
      <w:r w:rsidR="0039299A" w:rsidRPr="0039299A">
        <w:rPr>
          <w:b/>
        </w:rPr>
        <w:t>Direction</w:t>
      </w:r>
      <w:r w:rsidR="0039299A">
        <w:rPr>
          <w:bCs/>
        </w:rPr>
        <w:t xml:space="preserve"> </w:t>
      </w:r>
      <w:r w:rsidRPr="00771ADC">
        <w:t>(</w:t>
      </w:r>
      <w:r w:rsidRPr="00771ADC">
        <w:rPr>
          <w:b/>
          <w:bCs/>
        </w:rPr>
        <w:t>the Directed Function</w:t>
      </w:r>
      <w:r w:rsidR="003F4CDB">
        <w:rPr>
          <w:b/>
          <w:bCs/>
        </w:rPr>
        <w:t>s</w:t>
      </w:r>
      <w:r w:rsidRPr="00771ADC">
        <w:t>) unless and until</w:t>
      </w:r>
      <w:r w:rsidR="00F00CAC">
        <w:t xml:space="preserve"> revoked by a further direction or</w:t>
      </w:r>
      <w:r w:rsidRPr="00771ADC">
        <w:t xml:space="preserve"> instructed in writing by an authorised officer of the Department of Health on behalf of the Secretary of State on reasonable notice to suspend and/or permanently cease the Directed Function. Where a Directed Function is to cease, such written request will also contain a direction to revoke </w:t>
      </w:r>
      <w:r w:rsidR="003F4CDB">
        <w:t>this</w:t>
      </w:r>
      <w:r w:rsidRPr="00771ADC">
        <w:t xml:space="preserve"> Direction in accordance with the timescales and arrangements to be agreed with NHS Digital.</w:t>
      </w:r>
    </w:p>
    <w:p w:rsidR="00771ADC" w:rsidRPr="00B3710E" w:rsidRDefault="00771ADC" w:rsidP="00B3710E">
      <w:pPr>
        <w:pStyle w:val="ListParagraph"/>
        <w:numPr>
          <w:ilvl w:val="0"/>
          <w:numId w:val="8"/>
        </w:numPr>
        <w:rPr>
          <w:b/>
          <w:bCs/>
        </w:rPr>
      </w:pPr>
      <w:r w:rsidRPr="00B3710E">
        <w:rPr>
          <w:b/>
          <w:bCs/>
        </w:rPr>
        <w:t xml:space="preserve">Review of </w:t>
      </w:r>
      <w:r w:rsidR="003F4CDB" w:rsidRPr="00B3710E">
        <w:rPr>
          <w:b/>
          <w:bCs/>
        </w:rPr>
        <w:t>this</w:t>
      </w:r>
      <w:r w:rsidRPr="00B3710E">
        <w:rPr>
          <w:b/>
          <w:bCs/>
        </w:rPr>
        <w:t xml:space="preserve"> Direction </w:t>
      </w:r>
    </w:p>
    <w:p w:rsidR="00771ADC" w:rsidRPr="00771ADC" w:rsidRDefault="003F4CDB" w:rsidP="00771ADC">
      <w:r>
        <w:t>This</w:t>
      </w:r>
      <w:r w:rsidR="00771ADC" w:rsidRPr="00771ADC">
        <w:t xml:space="preserve"> Direction will be reviewed when the Specification is amended. This review will include consultation with NHS Digital as required by section 254(5) of the 2012 Act. </w:t>
      </w:r>
    </w:p>
    <w:p w:rsidR="007B0230" w:rsidRDefault="007B0230" w:rsidP="008B7FB1">
      <w:pPr>
        <w:suppressAutoHyphens/>
        <w:autoSpaceDN w:val="0"/>
        <w:spacing w:after="0" w:line="240" w:lineRule="auto"/>
        <w:ind w:right="282"/>
        <w:textAlignment w:val="baseline"/>
        <w:rPr>
          <w:rFonts w:eastAsia="Times New Roman" w:cs="Times New Roman"/>
          <w:lang w:eastAsia="en-GB"/>
        </w:rPr>
      </w:pPr>
    </w:p>
    <w:p w:rsidR="007B0230" w:rsidRDefault="007B0230" w:rsidP="008B7FB1">
      <w:pPr>
        <w:suppressAutoHyphens/>
        <w:autoSpaceDN w:val="0"/>
        <w:spacing w:after="0" w:line="240" w:lineRule="auto"/>
        <w:ind w:right="282"/>
        <w:textAlignment w:val="baseline"/>
        <w:rPr>
          <w:rFonts w:eastAsia="Times New Roman" w:cs="Times New Roman"/>
          <w:lang w:eastAsia="en-GB"/>
        </w:rPr>
      </w:pPr>
    </w:p>
    <w:p w:rsidR="0035617D" w:rsidRPr="00304B0A" w:rsidRDefault="0035617D" w:rsidP="008B7FB1">
      <w:pPr>
        <w:suppressAutoHyphens/>
        <w:autoSpaceDN w:val="0"/>
        <w:spacing w:after="0" w:line="240" w:lineRule="auto"/>
        <w:ind w:right="282"/>
        <w:textAlignment w:val="baseline"/>
        <w:rPr>
          <w:rFonts w:eastAsia="Times New Roman" w:cs="Times New Roman"/>
          <w:lang w:eastAsia="en-GB"/>
        </w:rPr>
      </w:pPr>
      <w:r w:rsidRPr="00304B0A">
        <w:rPr>
          <w:rFonts w:eastAsia="Times New Roman" w:cs="Times New Roman"/>
          <w:lang w:eastAsia="en-GB"/>
        </w:rPr>
        <w:t>Yours sincerely,</w:t>
      </w:r>
    </w:p>
    <w:p w:rsidR="00C83A92" w:rsidRDefault="00C83A92" w:rsidP="00180BCA">
      <w:pPr>
        <w:suppressAutoHyphens/>
        <w:autoSpaceDN w:val="0"/>
        <w:spacing w:after="0" w:line="240" w:lineRule="auto"/>
        <w:ind w:right="282"/>
        <w:textAlignment w:val="baseline"/>
        <w:rPr>
          <w:rFonts w:eastAsia="Times New Roman" w:cs="Times New Roman"/>
          <w:lang w:eastAsia="en-GB"/>
        </w:rPr>
      </w:pPr>
    </w:p>
    <w:p w:rsidR="00180BCA" w:rsidRPr="007B5746" w:rsidRDefault="00C83A92" w:rsidP="00180BCA">
      <w:pPr>
        <w:suppressAutoHyphens/>
        <w:autoSpaceDN w:val="0"/>
        <w:spacing w:after="0" w:line="240" w:lineRule="auto"/>
        <w:ind w:right="282"/>
        <w:textAlignment w:val="baseline"/>
        <w:rPr>
          <w:rFonts w:eastAsia="Times New Roman" w:cs="Times New Roman"/>
          <w:lang w:eastAsia="en-GB"/>
        </w:rPr>
      </w:pPr>
      <w:r>
        <w:rPr>
          <w:rFonts w:eastAsia="Times New Roman" w:cs="Times New Roman"/>
          <w:lang w:eastAsia="en-GB"/>
        </w:rPr>
        <w:t>Bob Butcher</w:t>
      </w:r>
    </w:p>
    <w:p w:rsidR="00180BCA" w:rsidRPr="007B5746" w:rsidRDefault="00C83A92" w:rsidP="00180BCA">
      <w:pPr>
        <w:suppressAutoHyphens/>
        <w:autoSpaceDN w:val="0"/>
        <w:spacing w:after="0" w:line="240" w:lineRule="auto"/>
        <w:ind w:right="282"/>
        <w:textAlignment w:val="baseline"/>
        <w:rPr>
          <w:rFonts w:eastAsia="Times New Roman" w:cs="Times New Roman"/>
          <w:lang w:eastAsia="en-GB"/>
        </w:rPr>
      </w:pPr>
      <w:r>
        <w:rPr>
          <w:rFonts w:eastAsia="Times New Roman" w:cs="Times New Roman"/>
          <w:lang w:eastAsia="en-GB"/>
        </w:rPr>
        <w:t xml:space="preserve">Deputy </w:t>
      </w:r>
      <w:r w:rsidR="00180BCA" w:rsidRPr="007B5746">
        <w:rPr>
          <w:rFonts w:eastAsia="Times New Roman" w:cs="Times New Roman"/>
          <w:lang w:eastAsia="en-GB"/>
        </w:rPr>
        <w:t>Director for Adult Social Care</w:t>
      </w:r>
      <w:r>
        <w:rPr>
          <w:rFonts w:eastAsia="Times New Roman" w:cs="Times New Roman"/>
          <w:lang w:eastAsia="en-GB"/>
        </w:rPr>
        <w:t xml:space="preserve"> Analysis</w:t>
      </w:r>
    </w:p>
    <w:p w:rsidR="004823A9" w:rsidRDefault="004823A9">
      <w:pPr>
        <w:rPr>
          <w:rFonts w:eastAsia="Times New Roman" w:cs="Times New Roman"/>
          <w:b/>
          <w:szCs w:val="24"/>
          <w:lang w:eastAsia="en-GB"/>
        </w:rPr>
      </w:pPr>
    </w:p>
    <w:p w:rsidR="003A0D51" w:rsidRDefault="003A0D51">
      <w:pPr>
        <w:rPr>
          <w:rFonts w:eastAsia="Times New Roman" w:cs="Times New Roman"/>
          <w:b/>
          <w:szCs w:val="24"/>
          <w:lang w:eastAsia="en-GB"/>
        </w:rPr>
      </w:pPr>
      <w:r>
        <w:rPr>
          <w:rFonts w:eastAsia="Times New Roman" w:cs="Times New Roman"/>
          <w:b/>
          <w:szCs w:val="24"/>
          <w:lang w:eastAsia="en-GB"/>
        </w:rPr>
        <w:t>Annex 1 – Detailed Topics covered in the Collection</w:t>
      </w:r>
    </w:p>
    <w:p w:rsidR="00FD542D" w:rsidRDefault="003A0D51">
      <w:pPr>
        <w:rPr>
          <w:rFonts w:eastAsia="Times New Roman" w:cs="Times New Roman"/>
          <w:szCs w:val="24"/>
          <w:lang w:eastAsia="en-GB"/>
        </w:rPr>
      </w:pPr>
      <w:r w:rsidRPr="003A0D51">
        <w:rPr>
          <w:rFonts w:eastAsia="Times New Roman" w:cs="Times New Roman"/>
          <w:b/>
          <w:szCs w:val="24"/>
          <w:lang w:eastAsia="en-GB"/>
        </w:rPr>
        <w:t xml:space="preserve">Annex 2 – </w:t>
      </w:r>
      <w:r w:rsidR="005F3AA3" w:rsidRPr="5AC05092">
        <w:rPr>
          <w:b/>
          <w:bCs/>
          <w:lang w:eastAsia="en-GB"/>
        </w:rPr>
        <w:t>Client-Level Adult Social Care Data Set Requirements Specification</w:t>
      </w:r>
    </w:p>
    <w:p w:rsidR="00E547B0" w:rsidRPr="003A0D51" w:rsidRDefault="00FD542D">
      <w:pPr>
        <w:rPr>
          <w:rFonts w:eastAsia="Times New Roman" w:cs="Times New Roman"/>
          <w:b/>
          <w:color w:val="FF0000"/>
          <w:szCs w:val="24"/>
          <w:lang w:eastAsia="en-GB"/>
        </w:rPr>
      </w:pPr>
      <w:r>
        <w:rPr>
          <w:rFonts w:eastAsia="Times New Roman" w:cs="Times New Roman"/>
          <w:b/>
          <w:szCs w:val="24"/>
          <w:lang w:eastAsia="en-GB"/>
        </w:rPr>
        <w:t xml:space="preserve">Annex 3 – The bodies to whom individual data can be </w:t>
      </w:r>
      <w:r w:rsidR="00E4747A">
        <w:rPr>
          <w:rFonts w:eastAsia="Times New Roman" w:cs="Times New Roman"/>
          <w:b/>
          <w:szCs w:val="24"/>
          <w:lang w:eastAsia="en-GB"/>
        </w:rPr>
        <w:t>disseminate</w:t>
      </w:r>
      <w:r w:rsidR="00817C64">
        <w:rPr>
          <w:rFonts w:eastAsia="Times New Roman" w:cs="Times New Roman"/>
          <w:b/>
          <w:szCs w:val="24"/>
          <w:lang w:eastAsia="en-GB"/>
        </w:rPr>
        <w:t>d</w:t>
      </w:r>
      <w:r w:rsidR="00E547B0" w:rsidRPr="003A0D51">
        <w:rPr>
          <w:rFonts w:eastAsia="Times New Roman" w:cs="Times New Roman"/>
          <w:b/>
          <w:szCs w:val="24"/>
          <w:lang w:eastAsia="en-GB"/>
        </w:rPr>
        <w:br w:type="page"/>
      </w:r>
    </w:p>
    <w:p w:rsidR="00E547B0" w:rsidRPr="00180FD7" w:rsidRDefault="00E547B0" w:rsidP="00E547B0">
      <w:pPr>
        <w:rPr>
          <w:b/>
          <w:sz w:val="28"/>
          <w:szCs w:val="28"/>
        </w:rPr>
      </w:pPr>
      <w:r w:rsidRPr="00F271C1">
        <w:rPr>
          <w:b/>
          <w:sz w:val="28"/>
          <w:szCs w:val="28"/>
        </w:rPr>
        <w:t xml:space="preserve">Annex </w:t>
      </w:r>
      <w:r w:rsidRPr="00180FD7">
        <w:rPr>
          <w:b/>
          <w:sz w:val="28"/>
          <w:szCs w:val="28"/>
        </w:rPr>
        <w:t>1</w:t>
      </w:r>
      <w:r w:rsidR="00180FD7" w:rsidRPr="00180FD7">
        <w:rPr>
          <w:b/>
          <w:sz w:val="28"/>
          <w:szCs w:val="28"/>
        </w:rPr>
        <w:t xml:space="preserve"> </w:t>
      </w:r>
      <w:r w:rsidR="00180FD7" w:rsidRPr="00180FD7">
        <w:rPr>
          <w:rFonts w:eastAsia="Times New Roman" w:cs="Times New Roman"/>
          <w:b/>
          <w:sz w:val="28"/>
          <w:szCs w:val="28"/>
          <w:lang w:eastAsia="en-GB"/>
        </w:rPr>
        <w:t>– Detailed Topics covered in the Collection</w:t>
      </w:r>
    </w:p>
    <w:p w:rsidR="00E547B0" w:rsidRDefault="00E547B0" w:rsidP="00E547B0">
      <w:pPr>
        <w:suppressAutoHyphens/>
        <w:autoSpaceDN w:val="0"/>
        <w:spacing w:after="0" w:line="240" w:lineRule="auto"/>
        <w:ind w:right="282"/>
        <w:textAlignment w:val="baseline"/>
        <w:rPr>
          <w:color w:val="000000" w:themeColor="text1"/>
        </w:rPr>
      </w:pPr>
      <w:r>
        <w:rPr>
          <w:color w:val="000000" w:themeColor="text1"/>
        </w:rPr>
        <w:t xml:space="preserve">The table below provides the scope of data to be </w:t>
      </w:r>
      <w:r w:rsidR="0004614E">
        <w:rPr>
          <w:color w:val="000000" w:themeColor="text1"/>
        </w:rPr>
        <w:t>collected</w:t>
      </w:r>
      <w:r>
        <w:rPr>
          <w:color w:val="000000" w:themeColor="text1"/>
        </w:rPr>
        <w:t xml:space="preserve">, subject to availability and local prioritisation, in the Client-level Adult Social Care Data flow. </w:t>
      </w:r>
    </w:p>
    <w:p w:rsidR="00E547B0" w:rsidRDefault="00E547B0" w:rsidP="00E547B0">
      <w:pPr>
        <w:suppressAutoHyphens/>
        <w:autoSpaceDN w:val="0"/>
        <w:spacing w:after="0" w:line="240" w:lineRule="auto"/>
        <w:ind w:right="282"/>
        <w:textAlignment w:val="baseline"/>
        <w:rPr>
          <w:color w:val="000000" w:themeColor="text1"/>
        </w:rPr>
      </w:pPr>
    </w:p>
    <w:tbl>
      <w:tblPr>
        <w:tblStyle w:val="TableGrid"/>
        <w:tblW w:w="0" w:type="auto"/>
        <w:tblLook w:val="04A0" w:firstRow="1" w:lastRow="0" w:firstColumn="1" w:lastColumn="0" w:noHBand="0" w:noVBand="1"/>
      </w:tblPr>
      <w:tblGrid>
        <w:gridCol w:w="4508"/>
        <w:gridCol w:w="4508"/>
      </w:tblGrid>
      <w:tr w:rsidR="00E547B0" w:rsidTr="00F82CDA">
        <w:trPr>
          <w:tblHeader/>
        </w:trPr>
        <w:tc>
          <w:tcPr>
            <w:tcW w:w="4508" w:type="dxa"/>
            <w:shd w:val="clear" w:color="auto" w:fill="8DB3E2" w:themeFill="text2" w:themeFillTint="66"/>
          </w:tcPr>
          <w:p w:rsidR="00E547B0" w:rsidRPr="00054765" w:rsidRDefault="00E547B0" w:rsidP="001719D5">
            <w:pPr>
              <w:suppressAutoHyphens/>
              <w:autoSpaceDN w:val="0"/>
              <w:ind w:right="282"/>
              <w:textAlignment w:val="baseline"/>
              <w:rPr>
                <w:b/>
                <w:bCs/>
                <w:color w:val="000000" w:themeColor="text1"/>
                <w:sz w:val="24"/>
                <w:szCs w:val="24"/>
              </w:rPr>
            </w:pPr>
            <w:r w:rsidRPr="00054765">
              <w:rPr>
                <w:b/>
                <w:bCs/>
                <w:color w:val="000000" w:themeColor="text1"/>
                <w:sz w:val="24"/>
                <w:szCs w:val="24"/>
              </w:rPr>
              <w:t xml:space="preserve">Data </w:t>
            </w:r>
            <w:r>
              <w:rPr>
                <w:b/>
                <w:bCs/>
                <w:color w:val="000000" w:themeColor="text1"/>
                <w:sz w:val="24"/>
                <w:szCs w:val="24"/>
              </w:rPr>
              <w:t>c</w:t>
            </w:r>
            <w:r w:rsidRPr="00054765">
              <w:rPr>
                <w:b/>
                <w:bCs/>
                <w:color w:val="000000" w:themeColor="text1"/>
                <w:sz w:val="24"/>
                <w:szCs w:val="24"/>
              </w:rPr>
              <w:t>ategory</w:t>
            </w:r>
            <w:r>
              <w:rPr>
                <w:b/>
                <w:bCs/>
                <w:color w:val="000000" w:themeColor="text1"/>
                <w:sz w:val="24"/>
                <w:szCs w:val="24"/>
              </w:rPr>
              <w:t xml:space="preserve">/ </w:t>
            </w:r>
            <w:r w:rsidRPr="00054765">
              <w:rPr>
                <w:b/>
                <w:bCs/>
                <w:color w:val="000000" w:themeColor="text1"/>
                <w:sz w:val="24"/>
                <w:szCs w:val="24"/>
              </w:rPr>
              <w:t>areas for measurement</w:t>
            </w:r>
          </w:p>
        </w:tc>
        <w:tc>
          <w:tcPr>
            <w:tcW w:w="4508" w:type="dxa"/>
            <w:shd w:val="clear" w:color="auto" w:fill="8DB3E2" w:themeFill="text2" w:themeFillTint="66"/>
          </w:tcPr>
          <w:p w:rsidR="00E547B0" w:rsidRPr="00054765" w:rsidRDefault="00E547B0" w:rsidP="001719D5">
            <w:pPr>
              <w:suppressAutoHyphens/>
              <w:autoSpaceDN w:val="0"/>
              <w:ind w:right="282"/>
              <w:textAlignment w:val="baseline"/>
              <w:rPr>
                <w:b/>
                <w:bCs/>
                <w:color w:val="000000" w:themeColor="text1"/>
                <w:sz w:val="24"/>
                <w:szCs w:val="24"/>
              </w:rPr>
            </w:pPr>
            <w:r w:rsidRPr="00054765">
              <w:rPr>
                <w:b/>
                <w:bCs/>
                <w:color w:val="000000" w:themeColor="text1"/>
                <w:sz w:val="24"/>
                <w:szCs w:val="24"/>
              </w:rPr>
              <w:t>Examples</w:t>
            </w:r>
          </w:p>
        </w:tc>
      </w:tr>
      <w:tr w:rsidR="00E547B0" w:rsidTr="001719D5">
        <w:tc>
          <w:tcPr>
            <w:tcW w:w="4508" w:type="dxa"/>
            <w:vMerge w:val="restart"/>
          </w:tcPr>
          <w:p w:rsidR="00E547B0" w:rsidRDefault="00E547B0" w:rsidP="001719D5">
            <w:pPr>
              <w:suppressAutoHyphens/>
              <w:autoSpaceDN w:val="0"/>
              <w:ind w:right="282"/>
              <w:textAlignment w:val="baseline"/>
              <w:rPr>
                <w:color w:val="000000" w:themeColor="text1"/>
              </w:rPr>
            </w:pPr>
            <w:r>
              <w:rPr>
                <w:color w:val="000000" w:themeColor="text1"/>
              </w:rPr>
              <w:t>Demographic</w:t>
            </w: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Name</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Unique Identifier - NHS Number</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DOB</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DOD</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Gender</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Ethnicity</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Employment status</w:t>
            </w:r>
          </w:p>
        </w:tc>
      </w:tr>
      <w:tr w:rsidR="00E547B0" w:rsidTr="001719D5">
        <w:tc>
          <w:tcPr>
            <w:tcW w:w="4508" w:type="dxa"/>
            <w:vMerge w:val="restart"/>
          </w:tcPr>
          <w:p w:rsidR="00E547B0" w:rsidRDefault="00E547B0" w:rsidP="001719D5">
            <w:pPr>
              <w:suppressAutoHyphens/>
              <w:autoSpaceDN w:val="0"/>
              <w:ind w:right="282"/>
              <w:textAlignment w:val="baseline"/>
              <w:rPr>
                <w:color w:val="000000" w:themeColor="text1"/>
              </w:rPr>
            </w:pPr>
            <w:r>
              <w:rPr>
                <w:color w:val="000000" w:themeColor="text1"/>
              </w:rPr>
              <w:t>Accommodation status/ description</w:t>
            </w: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Accommodation Status</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Permanent Home Address</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Permanent Current Address (if not at home)</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Temporary address</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Type of accommodation</w:t>
            </w:r>
          </w:p>
        </w:tc>
      </w:tr>
      <w:tr w:rsidR="00E547B0" w:rsidTr="001719D5">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Health Conditions</w:t>
            </w: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Reported Health Condition</w:t>
            </w:r>
          </w:p>
        </w:tc>
      </w:tr>
      <w:tr w:rsidR="00E547B0" w:rsidTr="001719D5">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Carer</w:t>
            </w: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Has Carer</w:t>
            </w:r>
          </w:p>
        </w:tc>
      </w:tr>
      <w:tr w:rsidR="00E547B0" w:rsidTr="001719D5">
        <w:tc>
          <w:tcPr>
            <w:tcW w:w="4508" w:type="dxa"/>
            <w:vMerge w:val="restart"/>
          </w:tcPr>
          <w:p w:rsidR="00E547B0" w:rsidRDefault="00E547B0" w:rsidP="001719D5">
            <w:pPr>
              <w:suppressAutoHyphens/>
              <w:autoSpaceDN w:val="0"/>
              <w:ind w:right="282"/>
              <w:textAlignment w:val="baseline"/>
              <w:rPr>
                <w:color w:val="000000" w:themeColor="text1"/>
              </w:rPr>
            </w:pPr>
            <w:r>
              <w:rPr>
                <w:color w:val="000000" w:themeColor="text1"/>
              </w:rPr>
              <w:t>Client status &amp; route of access</w:t>
            </w: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Client Type</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Cared for Linked ID</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Contact</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Contact Reason</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Contact Method</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Contact Status (Assessment)</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Contact source/ Referral</w:t>
            </w:r>
          </w:p>
        </w:tc>
      </w:tr>
      <w:tr w:rsidR="00E547B0" w:rsidTr="001719D5">
        <w:tc>
          <w:tcPr>
            <w:tcW w:w="4508" w:type="dxa"/>
            <w:vMerge w:val="restart"/>
          </w:tcPr>
          <w:p w:rsidR="00E547B0" w:rsidRDefault="00E547B0" w:rsidP="001719D5">
            <w:pPr>
              <w:suppressAutoHyphens/>
              <w:autoSpaceDN w:val="0"/>
              <w:ind w:right="282"/>
              <w:textAlignment w:val="baseline"/>
              <w:rPr>
                <w:color w:val="000000" w:themeColor="text1"/>
              </w:rPr>
            </w:pPr>
            <w:r>
              <w:rPr>
                <w:color w:val="000000" w:themeColor="text1"/>
              </w:rPr>
              <w:t>Event Type</w:t>
            </w: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Primary Support Reason</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 xml:space="preserve">All current Support Reasons </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Event start date</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Event End date</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Contact</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Assessment</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Service</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Review</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Primary Review Reason</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Event Sub-Group</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Event Status</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Event outcome/ result</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Referral end reason</w:t>
            </w:r>
          </w:p>
        </w:tc>
      </w:tr>
      <w:tr w:rsidR="00E547B0" w:rsidTr="001719D5">
        <w:tc>
          <w:tcPr>
            <w:tcW w:w="4508" w:type="dxa"/>
            <w:vMerge w:val="restart"/>
          </w:tcPr>
          <w:p w:rsidR="00E547B0" w:rsidRDefault="00E547B0" w:rsidP="001719D5">
            <w:pPr>
              <w:suppressAutoHyphens/>
              <w:autoSpaceDN w:val="0"/>
              <w:ind w:right="282"/>
              <w:textAlignment w:val="baseline"/>
              <w:rPr>
                <w:color w:val="000000" w:themeColor="text1"/>
              </w:rPr>
            </w:pPr>
            <w:r>
              <w:rPr>
                <w:color w:val="000000" w:themeColor="text1"/>
              </w:rPr>
              <w:t>Services &amp; Service Providers</w:t>
            </w: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Service type - From defined list of Short and Long</w:t>
            </w:r>
            <w:r w:rsidR="00E90F67">
              <w:rPr>
                <w:color w:val="000000" w:themeColor="text1"/>
              </w:rPr>
              <w:t>-</w:t>
            </w:r>
            <w:r>
              <w:rPr>
                <w:color w:val="000000" w:themeColor="text1"/>
              </w:rPr>
              <w:t>Term Services</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Service Type description/ units</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Service provider ID</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Service provider location/ place</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Service Frequency</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Service Status</w:t>
            </w:r>
          </w:p>
        </w:tc>
      </w:tr>
      <w:tr w:rsidR="00E547B0" w:rsidTr="001719D5">
        <w:tc>
          <w:tcPr>
            <w:tcW w:w="4508" w:type="dxa"/>
            <w:vMerge w:val="restart"/>
          </w:tcPr>
          <w:p w:rsidR="00E547B0" w:rsidRDefault="00E547B0" w:rsidP="001719D5">
            <w:pPr>
              <w:suppressAutoHyphens/>
              <w:autoSpaceDN w:val="0"/>
              <w:ind w:right="282"/>
              <w:textAlignment w:val="baseline"/>
              <w:rPr>
                <w:color w:val="000000" w:themeColor="text1"/>
              </w:rPr>
            </w:pPr>
            <w:r>
              <w:rPr>
                <w:color w:val="000000" w:themeColor="text1"/>
              </w:rPr>
              <w:t>Cost/ payment</w:t>
            </w: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Delivery Mechanism</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Client contributions (%)</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Unit cost</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Planned Units</w:t>
            </w:r>
          </w:p>
        </w:tc>
      </w:tr>
      <w:tr w:rsidR="00E547B0" w:rsidTr="001719D5">
        <w:tc>
          <w:tcPr>
            <w:tcW w:w="4508" w:type="dxa"/>
            <w:vMerge/>
          </w:tcPr>
          <w:p w:rsidR="00E547B0" w:rsidRDefault="00E547B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Cost Frequency</w:t>
            </w:r>
          </w:p>
        </w:tc>
      </w:tr>
      <w:tr w:rsidR="00E547B0" w:rsidTr="001719D5">
        <w:tc>
          <w:tcPr>
            <w:tcW w:w="4508" w:type="dxa"/>
            <w:vMerge w:val="restart"/>
          </w:tcPr>
          <w:p w:rsidR="00E547B0" w:rsidRDefault="00E547B0" w:rsidP="001719D5">
            <w:pPr>
              <w:suppressAutoHyphens/>
              <w:autoSpaceDN w:val="0"/>
              <w:ind w:right="282"/>
              <w:textAlignment w:val="baseline"/>
              <w:rPr>
                <w:color w:val="000000" w:themeColor="text1"/>
              </w:rPr>
            </w:pPr>
            <w:r>
              <w:rPr>
                <w:color w:val="000000" w:themeColor="text1"/>
              </w:rPr>
              <w:t>Outcomes</w:t>
            </w:r>
          </w:p>
          <w:p w:rsidR="003B78A0" w:rsidRDefault="003B78A0" w:rsidP="001719D5">
            <w:pPr>
              <w:suppressAutoHyphens/>
              <w:autoSpaceDN w:val="0"/>
              <w:ind w:right="282"/>
              <w:textAlignment w:val="baseline"/>
              <w:rPr>
                <w:color w:val="000000" w:themeColor="text1"/>
              </w:rPr>
            </w:pPr>
          </w:p>
        </w:tc>
        <w:tc>
          <w:tcPr>
            <w:tcW w:w="4508" w:type="dxa"/>
          </w:tcPr>
          <w:p w:rsidR="00E547B0" w:rsidRDefault="00E547B0" w:rsidP="001719D5">
            <w:pPr>
              <w:suppressAutoHyphens/>
              <w:autoSpaceDN w:val="0"/>
              <w:ind w:right="282"/>
              <w:textAlignment w:val="baseline"/>
              <w:rPr>
                <w:color w:val="000000" w:themeColor="text1"/>
              </w:rPr>
            </w:pPr>
            <w:r>
              <w:rPr>
                <w:color w:val="000000" w:themeColor="text1"/>
              </w:rPr>
              <w:t>Assessment Review Outcomes</w:t>
            </w:r>
          </w:p>
        </w:tc>
      </w:tr>
      <w:tr w:rsidR="003B78A0" w:rsidTr="001719D5">
        <w:tc>
          <w:tcPr>
            <w:tcW w:w="4508" w:type="dxa"/>
            <w:vMerge/>
          </w:tcPr>
          <w:p w:rsidR="003B78A0" w:rsidRDefault="003B78A0" w:rsidP="003B78A0">
            <w:pPr>
              <w:suppressAutoHyphens/>
              <w:autoSpaceDN w:val="0"/>
              <w:ind w:right="282"/>
              <w:textAlignment w:val="baseline"/>
              <w:rPr>
                <w:color w:val="000000" w:themeColor="text1"/>
              </w:rPr>
            </w:pPr>
          </w:p>
        </w:tc>
        <w:tc>
          <w:tcPr>
            <w:tcW w:w="4508" w:type="dxa"/>
          </w:tcPr>
          <w:p w:rsidR="003B78A0" w:rsidRDefault="003B78A0" w:rsidP="003B78A0">
            <w:pPr>
              <w:suppressAutoHyphens/>
              <w:autoSpaceDN w:val="0"/>
              <w:ind w:right="282"/>
              <w:textAlignment w:val="baseline"/>
              <w:rPr>
                <w:color w:val="000000" w:themeColor="text1"/>
              </w:rPr>
            </w:pPr>
            <w:r>
              <w:rPr>
                <w:color w:val="000000" w:themeColor="text1"/>
              </w:rPr>
              <w:t>End of services provision</w:t>
            </w:r>
          </w:p>
        </w:tc>
      </w:tr>
    </w:tbl>
    <w:p w:rsidR="00E547B0" w:rsidRPr="002E7C9C" w:rsidRDefault="00E547B0" w:rsidP="00E547B0">
      <w:pPr>
        <w:suppressAutoHyphens/>
        <w:autoSpaceDN w:val="0"/>
        <w:spacing w:after="0" w:line="240" w:lineRule="auto"/>
        <w:ind w:right="282"/>
        <w:textAlignment w:val="baseline"/>
        <w:rPr>
          <w:color w:val="000000" w:themeColor="text1"/>
        </w:rPr>
      </w:pPr>
    </w:p>
    <w:p w:rsidR="00E547B0" w:rsidRDefault="00E547B0" w:rsidP="00E547B0"/>
    <w:p w:rsidR="00000896" w:rsidRDefault="00000896">
      <w:pPr>
        <w:rPr>
          <w:rFonts w:eastAsia="Times New Roman" w:cs="Times New Roman"/>
          <w:color w:val="FF0000"/>
          <w:szCs w:val="24"/>
          <w:lang w:eastAsia="en-GB"/>
        </w:rPr>
      </w:pPr>
      <w:r>
        <w:rPr>
          <w:rFonts w:eastAsia="Times New Roman" w:cs="Times New Roman"/>
          <w:color w:val="FF0000"/>
          <w:szCs w:val="24"/>
          <w:lang w:eastAsia="en-GB"/>
        </w:rPr>
        <w:br w:type="page"/>
      </w:r>
    </w:p>
    <w:p w:rsidR="00E547B0" w:rsidRPr="00180FD7" w:rsidRDefault="00000896" w:rsidP="00E547B0">
      <w:pPr>
        <w:rPr>
          <w:rFonts w:eastAsia="Times New Roman" w:cs="Times New Roman"/>
          <w:b/>
          <w:bCs/>
          <w:color w:val="000000" w:themeColor="text1"/>
          <w:sz w:val="28"/>
          <w:szCs w:val="28"/>
          <w:lang w:eastAsia="en-GB"/>
        </w:rPr>
      </w:pPr>
      <w:r w:rsidRPr="00180FD7">
        <w:rPr>
          <w:rFonts w:eastAsia="Times New Roman" w:cs="Times New Roman"/>
          <w:b/>
          <w:bCs/>
          <w:color w:val="000000" w:themeColor="text1"/>
          <w:sz w:val="28"/>
          <w:szCs w:val="28"/>
          <w:lang w:eastAsia="en-GB"/>
        </w:rPr>
        <w:t>Annex 2</w:t>
      </w:r>
      <w:r w:rsidR="00180FD7" w:rsidRPr="00180FD7">
        <w:rPr>
          <w:rFonts w:eastAsia="Times New Roman" w:cs="Times New Roman"/>
          <w:b/>
          <w:sz w:val="28"/>
          <w:szCs w:val="28"/>
          <w:lang w:eastAsia="en-GB"/>
        </w:rPr>
        <w:t xml:space="preserve"> – </w:t>
      </w:r>
      <w:r w:rsidR="005F3AA3" w:rsidRPr="00EB0C90">
        <w:rPr>
          <w:rFonts w:eastAsia="Times New Roman" w:cs="Times New Roman"/>
          <w:b/>
          <w:bCs/>
          <w:color w:val="000000" w:themeColor="text1"/>
          <w:sz w:val="28"/>
          <w:szCs w:val="28"/>
          <w:lang w:eastAsia="en-GB"/>
        </w:rPr>
        <w:t>Client-Level Adult Social Care Data Set Requirements Specification</w:t>
      </w:r>
    </w:p>
    <w:p w:rsidR="00D16846" w:rsidRPr="00EB0C90" w:rsidRDefault="00D16846">
      <w:pPr>
        <w:pStyle w:val="ListParagraph"/>
        <w:numPr>
          <w:ilvl w:val="0"/>
          <w:numId w:val="11"/>
        </w:numPr>
        <w:rPr>
          <w:rFonts w:eastAsia="Times New Roman" w:cs="Times New Roman"/>
          <w:color w:val="000000" w:themeColor="text1"/>
          <w:lang w:eastAsia="en-GB"/>
        </w:rPr>
      </w:pPr>
      <w:r w:rsidRPr="00EB0C90">
        <w:rPr>
          <w:rFonts w:eastAsia="Times New Roman" w:cs="Times New Roman"/>
          <w:color w:val="000000" w:themeColor="text1"/>
          <w:lang w:eastAsia="en-GB"/>
        </w:rPr>
        <w:t>Collection of Client Level Adult Social Care Data No. 2  - Guidance for specification V1.0</w:t>
      </w:r>
    </w:p>
    <w:p w:rsidR="00A0204A" w:rsidRPr="00EB0C90" w:rsidRDefault="00D16846">
      <w:pPr>
        <w:pStyle w:val="ListParagraph"/>
        <w:numPr>
          <w:ilvl w:val="0"/>
          <w:numId w:val="11"/>
        </w:numPr>
        <w:rPr>
          <w:rFonts w:eastAsia="Times New Roman" w:cs="Times New Roman"/>
          <w:color w:val="000000" w:themeColor="text1"/>
          <w:lang w:eastAsia="en-GB"/>
        </w:rPr>
      </w:pPr>
      <w:r w:rsidRPr="00EB0C90">
        <w:rPr>
          <w:rFonts w:eastAsia="Times New Roman" w:cs="Times New Roman"/>
          <w:color w:val="000000" w:themeColor="text1"/>
          <w:lang w:eastAsia="en-GB"/>
        </w:rPr>
        <w:t>Collection of Client Level Adult Social Care Data No. 2 -</w:t>
      </w:r>
      <w:r w:rsidR="00A0204A" w:rsidRPr="00EB0C90">
        <w:rPr>
          <w:rFonts w:eastAsia="Times New Roman" w:cs="Times New Roman"/>
          <w:color w:val="000000" w:themeColor="text1"/>
          <w:lang w:eastAsia="en-GB"/>
        </w:rPr>
        <w:t>Data</w:t>
      </w:r>
      <w:r w:rsidRPr="00EB0C90">
        <w:rPr>
          <w:rFonts w:eastAsia="Times New Roman" w:cs="Times New Roman"/>
          <w:color w:val="000000" w:themeColor="text1"/>
          <w:lang w:eastAsia="en-GB"/>
        </w:rPr>
        <w:t xml:space="preserve"> Template V1.0</w:t>
      </w:r>
    </w:p>
    <w:p w:rsidR="007506E7" w:rsidRDefault="007506E7" w:rsidP="00A0204A"/>
    <w:p w:rsidR="00567573" w:rsidRDefault="007506E7" w:rsidP="007506E7">
      <w:pPr>
        <w:ind w:left="720" w:firstLine="720"/>
        <w:rPr>
          <w:rFonts w:eastAsia="Times New Roman" w:cs="Times New Roman"/>
          <w:color w:val="FF0000"/>
          <w:szCs w:val="24"/>
          <w:lang w:eastAsia="en-GB"/>
        </w:rPr>
      </w:pPr>
      <w:r>
        <w:object w:dxaOrig="1506" w:dyaOrig="985" w14:anchorId="1F157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2" o:title=""/>
          </v:shape>
          <o:OLEObject Type="Embed" ProgID="Word.Document.12" ShapeID="_x0000_i1025" DrawAspect="Icon" ObjectID="_1683463184" r:id="rId13">
            <o:FieldCodes>\s</o:FieldCodes>
          </o:OLEObject>
        </w:object>
      </w:r>
      <w:r>
        <w:object w:dxaOrig="1506" w:dyaOrig="985" w14:anchorId="15E45F9A">
          <v:shape id="_x0000_i1026" type="#_x0000_t75" style="width:75pt;height:49.5pt" o:ole="">
            <v:imagedata r:id="rId14" o:title=""/>
          </v:shape>
          <o:OLEObject Type="Embed" ProgID="Excel.Sheet.12" ShapeID="_x0000_i1026" DrawAspect="Icon" ObjectID="_1683463185" r:id="rId15"/>
        </w:object>
      </w:r>
    </w:p>
    <w:p w:rsidR="00E4747A" w:rsidRPr="00EB0C90" w:rsidRDefault="00E4747A" w:rsidP="00A0204A">
      <w:pPr>
        <w:rPr>
          <w:rFonts w:eastAsia="Times New Roman" w:cs="Times New Roman"/>
          <w:color w:val="FF0000"/>
          <w:szCs w:val="24"/>
          <w:lang w:eastAsia="en-GB"/>
        </w:rPr>
      </w:pPr>
      <w:r w:rsidRPr="00EB0C90">
        <w:rPr>
          <w:rFonts w:eastAsia="Times New Roman" w:cs="Times New Roman"/>
          <w:color w:val="FF0000"/>
          <w:szCs w:val="24"/>
          <w:lang w:eastAsia="en-GB"/>
        </w:rPr>
        <w:br w:type="page"/>
      </w:r>
    </w:p>
    <w:p w:rsidR="00B775D4" w:rsidRPr="00E4747A" w:rsidRDefault="00E4747A" w:rsidP="00B775D4">
      <w:pPr>
        <w:rPr>
          <w:rFonts w:eastAsia="Times New Roman" w:cs="Times New Roman"/>
          <w:color w:val="000000" w:themeColor="text1"/>
          <w:sz w:val="28"/>
          <w:szCs w:val="28"/>
          <w:lang w:eastAsia="en-GB"/>
        </w:rPr>
      </w:pPr>
      <w:r w:rsidRPr="00E4747A">
        <w:rPr>
          <w:rFonts w:eastAsia="Times New Roman" w:cs="Times New Roman"/>
          <w:b/>
          <w:sz w:val="28"/>
          <w:szCs w:val="28"/>
          <w:lang w:eastAsia="en-GB"/>
        </w:rPr>
        <w:t>Annex 3 – The bodies to whom individual data can be disseminate</w:t>
      </w:r>
      <w:r w:rsidR="00817C64">
        <w:rPr>
          <w:rFonts w:eastAsia="Times New Roman" w:cs="Times New Roman"/>
          <w:b/>
          <w:sz w:val="28"/>
          <w:szCs w:val="28"/>
          <w:lang w:eastAsia="en-GB"/>
        </w:rPr>
        <w:t>d</w:t>
      </w:r>
    </w:p>
    <w:p w:rsidR="00E4747A" w:rsidRDefault="00E4747A" w:rsidP="00B775D4">
      <w:pPr>
        <w:rPr>
          <w:rFonts w:eastAsia="Times New Roman" w:cs="Times New Roman"/>
          <w:color w:val="000000" w:themeColor="text1"/>
          <w:szCs w:val="24"/>
          <w:lang w:eastAsia="en-GB"/>
        </w:rPr>
      </w:pPr>
      <w:r>
        <w:rPr>
          <w:rFonts w:eastAsia="Times New Roman" w:cs="Times New Roman"/>
          <w:color w:val="000000" w:themeColor="text1"/>
          <w:szCs w:val="24"/>
          <w:lang w:eastAsia="en-GB"/>
        </w:rPr>
        <w:t xml:space="preserve">These bodies are able to apply to the Data Access Request Service (DARS) </w:t>
      </w:r>
      <w:r w:rsidR="00B452E8">
        <w:rPr>
          <w:rFonts w:eastAsia="Times New Roman" w:cs="Times New Roman"/>
          <w:color w:val="000000" w:themeColor="text1"/>
          <w:szCs w:val="24"/>
          <w:lang w:eastAsia="en-GB"/>
        </w:rPr>
        <w:t>and</w:t>
      </w:r>
      <w:r>
        <w:rPr>
          <w:rFonts w:eastAsia="Times New Roman" w:cs="Times New Roman"/>
          <w:color w:val="000000" w:themeColor="text1"/>
          <w:szCs w:val="24"/>
          <w:lang w:eastAsia="en-GB"/>
        </w:rPr>
        <w:t xml:space="preserve"> </w:t>
      </w:r>
      <w:r w:rsidR="00801A57">
        <w:rPr>
          <w:rFonts w:eastAsia="Times New Roman" w:cs="Times New Roman"/>
          <w:color w:val="000000" w:themeColor="text1"/>
          <w:szCs w:val="24"/>
          <w:lang w:eastAsia="en-GB"/>
        </w:rPr>
        <w:t>on approval have access to pseudonymised</w:t>
      </w:r>
      <w:r w:rsidR="004C4FCD">
        <w:rPr>
          <w:rFonts w:eastAsia="Times New Roman" w:cs="Times New Roman"/>
          <w:color w:val="000000" w:themeColor="text1"/>
          <w:szCs w:val="24"/>
          <w:lang w:eastAsia="en-GB"/>
        </w:rPr>
        <w:t xml:space="preserve"> and</w:t>
      </w:r>
      <w:r w:rsidR="00801A57">
        <w:rPr>
          <w:rFonts w:eastAsia="Times New Roman" w:cs="Times New Roman"/>
          <w:color w:val="000000" w:themeColor="text1"/>
          <w:szCs w:val="24"/>
          <w:lang w:eastAsia="en-GB"/>
        </w:rPr>
        <w:t xml:space="preserve"> </w:t>
      </w:r>
      <w:r w:rsidR="00B97BF2">
        <w:rPr>
          <w:rFonts w:eastAsia="Times New Roman" w:cs="Times New Roman"/>
          <w:color w:val="000000" w:themeColor="text1"/>
          <w:szCs w:val="24"/>
          <w:lang w:eastAsia="en-GB"/>
        </w:rPr>
        <w:t xml:space="preserve">anonymised </w:t>
      </w:r>
      <w:r>
        <w:rPr>
          <w:rFonts w:eastAsia="Times New Roman" w:cs="Times New Roman"/>
          <w:color w:val="000000" w:themeColor="text1"/>
          <w:szCs w:val="24"/>
          <w:lang w:eastAsia="en-GB"/>
        </w:rPr>
        <w:t>data</w:t>
      </w:r>
      <w:r w:rsidR="00801A57">
        <w:rPr>
          <w:rFonts w:eastAsia="Times New Roman" w:cs="Times New Roman"/>
          <w:color w:val="000000" w:themeColor="text1"/>
          <w:szCs w:val="24"/>
          <w:lang w:eastAsia="en-GB"/>
        </w:rPr>
        <w:t>set</w:t>
      </w:r>
      <w:r w:rsidR="00567F9C">
        <w:rPr>
          <w:rFonts w:eastAsia="Times New Roman" w:cs="Times New Roman"/>
          <w:color w:val="000000" w:themeColor="text1"/>
          <w:szCs w:val="24"/>
          <w:lang w:eastAsia="en-GB"/>
        </w:rPr>
        <w:t>s</w:t>
      </w:r>
      <w:r w:rsidR="0004614E">
        <w:rPr>
          <w:rFonts w:eastAsia="Times New Roman" w:cs="Times New Roman"/>
          <w:color w:val="000000" w:themeColor="text1"/>
          <w:szCs w:val="24"/>
          <w:lang w:eastAsia="en-GB"/>
        </w:rPr>
        <w:t xml:space="preserve"> </w:t>
      </w:r>
      <w:r w:rsidR="002811A4">
        <w:rPr>
          <w:rFonts w:eastAsia="Times New Roman" w:cs="Times New Roman"/>
          <w:color w:val="000000" w:themeColor="text1"/>
          <w:szCs w:val="24"/>
          <w:lang w:eastAsia="en-GB"/>
        </w:rPr>
        <w:t xml:space="preserve">as set out in the direction, </w:t>
      </w:r>
      <w:r w:rsidR="0004614E">
        <w:rPr>
          <w:rFonts w:eastAsia="Times New Roman" w:cs="Times New Roman"/>
          <w:color w:val="000000" w:themeColor="text1"/>
          <w:szCs w:val="24"/>
          <w:lang w:eastAsia="en-GB"/>
        </w:rPr>
        <w:t>for analysis or research with the aim of improving adults social care services or improving their efficiency:</w:t>
      </w:r>
    </w:p>
    <w:p w:rsidR="00B452E8" w:rsidRDefault="00B452E8" w:rsidP="002D595F">
      <w:pPr>
        <w:pStyle w:val="ListParagraph"/>
        <w:numPr>
          <w:ilvl w:val="0"/>
          <w:numId w:val="2"/>
        </w:numPr>
        <w:rPr>
          <w:rFonts w:cstheme="minorHAnsi"/>
        </w:rPr>
      </w:pPr>
      <w:r w:rsidRPr="002D595F">
        <w:rPr>
          <w:rFonts w:cstheme="minorHAnsi"/>
        </w:rPr>
        <w:t>The CASSRs who submitted the adult social care data</w:t>
      </w:r>
      <w:r w:rsidR="00801A57" w:rsidRPr="002D595F">
        <w:rPr>
          <w:rFonts w:cstheme="minorHAnsi"/>
        </w:rPr>
        <w:t xml:space="preserve"> and t</w:t>
      </w:r>
      <w:r w:rsidRPr="002D595F">
        <w:rPr>
          <w:rFonts w:cstheme="minorHAnsi"/>
        </w:rPr>
        <w:t>hose CCGs that have some of their population included in the data.</w:t>
      </w:r>
    </w:p>
    <w:p w:rsidR="00E4747A" w:rsidRPr="00A31E04" w:rsidRDefault="00E4747A" w:rsidP="00A31E04">
      <w:pPr>
        <w:pStyle w:val="ListParagraph"/>
        <w:numPr>
          <w:ilvl w:val="0"/>
          <w:numId w:val="2"/>
        </w:numPr>
        <w:rPr>
          <w:rFonts w:eastAsia="Times New Roman" w:cs="Times New Roman"/>
          <w:color w:val="000000" w:themeColor="text1"/>
          <w:szCs w:val="24"/>
          <w:lang w:eastAsia="en-GB"/>
        </w:rPr>
      </w:pPr>
      <w:r w:rsidRPr="00A31E04">
        <w:rPr>
          <w:rFonts w:eastAsia="Times New Roman" w:cs="Times New Roman"/>
          <w:color w:val="000000" w:themeColor="text1"/>
          <w:szCs w:val="24"/>
          <w:lang w:eastAsia="en-GB"/>
        </w:rPr>
        <w:t>DHSC</w:t>
      </w:r>
      <w:r w:rsidR="009E6821" w:rsidRPr="00A31E04">
        <w:rPr>
          <w:rFonts w:eastAsia="Times New Roman" w:cs="Times New Roman"/>
          <w:color w:val="000000" w:themeColor="text1"/>
          <w:szCs w:val="24"/>
          <w:lang w:eastAsia="en-GB"/>
        </w:rPr>
        <w:t xml:space="preserve"> </w:t>
      </w:r>
      <w:r w:rsidR="00C671BC" w:rsidRPr="00A31E04">
        <w:rPr>
          <w:rFonts w:eastAsia="Times New Roman" w:cs="Times New Roman"/>
          <w:color w:val="000000" w:themeColor="text1"/>
          <w:szCs w:val="24"/>
          <w:lang w:eastAsia="en-GB"/>
        </w:rPr>
        <w:t>and NHS</w:t>
      </w:r>
      <w:r w:rsidR="00725168" w:rsidRPr="00A31E04">
        <w:rPr>
          <w:rFonts w:eastAsia="Times New Roman" w:cs="Times New Roman"/>
          <w:color w:val="000000" w:themeColor="text1"/>
          <w:szCs w:val="24"/>
          <w:lang w:eastAsia="en-GB"/>
        </w:rPr>
        <w:t xml:space="preserve"> </w:t>
      </w:r>
      <w:r w:rsidR="00C671BC" w:rsidRPr="00A31E04">
        <w:rPr>
          <w:rFonts w:eastAsia="Times New Roman" w:cs="Times New Roman"/>
          <w:color w:val="000000" w:themeColor="text1"/>
          <w:szCs w:val="24"/>
          <w:lang w:eastAsia="en-GB"/>
        </w:rPr>
        <w:t>E</w:t>
      </w:r>
      <w:r w:rsidR="00725168" w:rsidRPr="00A31E04">
        <w:rPr>
          <w:rFonts w:eastAsia="Times New Roman" w:cs="Times New Roman"/>
          <w:color w:val="000000" w:themeColor="text1"/>
          <w:szCs w:val="24"/>
          <w:lang w:eastAsia="en-GB"/>
        </w:rPr>
        <w:t>ngland</w:t>
      </w:r>
      <w:r w:rsidR="00A31E04">
        <w:rPr>
          <w:rFonts w:eastAsia="Times New Roman" w:cs="Times New Roman"/>
          <w:color w:val="000000" w:themeColor="text1"/>
          <w:szCs w:val="24"/>
          <w:lang w:eastAsia="en-GB"/>
        </w:rPr>
        <w:t>,</w:t>
      </w:r>
      <w:r w:rsidR="00A31E04" w:rsidRPr="00A31E04">
        <w:rPr>
          <w:rFonts w:eastAsia="Times New Roman" w:cs="Times New Roman"/>
          <w:color w:val="000000" w:themeColor="text1"/>
          <w:szCs w:val="24"/>
          <w:lang w:eastAsia="en-GB"/>
        </w:rPr>
        <w:t xml:space="preserve"> including its Commissioning Support Units</w:t>
      </w:r>
    </w:p>
    <w:p w:rsidR="002D595F" w:rsidRPr="0018667D" w:rsidRDefault="004470F7" w:rsidP="0018667D">
      <w:pPr>
        <w:pStyle w:val="ListParagraph"/>
        <w:numPr>
          <w:ilvl w:val="0"/>
          <w:numId w:val="2"/>
        </w:numPr>
        <w:rPr>
          <w:rFonts w:eastAsia="Times New Roman" w:cs="Times New Roman"/>
          <w:color w:val="000000" w:themeColor="text1"/>
          <w:szCs w:val="24"/>
          <w:lang w:eastAsia="en-GB"/>
        </w:rPr>
      </w:pPr>
      <w:r>
        <w:rPr>
          <w:rFonts w:eastAsia="Times New Roman" w:cs="Times New Roman"/>
          <w:color w:val="000000" w:themeColor="text1"/>
          <w:szCs w:val="24"/>
          <w:lang w:eastAsia="en-GB"/>
        </w:rPr>
        <w:t>Association of Directors of Adult Social Services</w:t>
      </w:r>
      <w:r w:rsidR="00A9511D">
        <w:rPr>
          <w:rFonts w:eastAsia="Times New Roman" w:cs="Times New Roman"/>
          <w:color w:val="000000" w:themeColor="text1"/>
          <w:szCs w:val="24"/>
          <w:lang w:eastAsia="en-GB"/>
        </w:rPr>
        <w:t xml:space="preserve"> (ADASS)</w:t>
      </w:r>
      <w:r>
        <w:rPr>
          <w:rFonts w:eastAsia="Times New Roman" w:cs="Times New Roman"/>
          <w:color w:val="000000" w:themeColor="text1"/>
          <w:szCs w:val="24"/>
          <w:lang w:eastAsia="en-GB"/>
        </w:rPr>
        <w:t xml:space="preserve"> </w:t>
      </w:r>
      <w:r w:rsidR="00725168">
        <w:rPr>
          <w:rFonts w:eastAsia="Times New Roman" w:cs="Times New Roman"/>
          <w:color w:val="000000" w:themeColor="text1"/>
          <w:szCs w:val="24"/>
          <w:lang w:eastAsia="en-GB"/>
        </w:rPr>
        <w:t>(</w:t>
      </w:r>
      <w:r>
        <w:rPr>
          <w:rFonts w:eastAsia="Times New Roman" w:cs="Times New Roman"/>
          <w:color w:val="000000" w:themeColor="text1"/>
          <w:szCs w:val="24"/>
          <w:lang w:eastAsia="en-GB"/>
        </w:rPr>
        <w:t>registered charity</w:t>
      </w:r>
      <w:r w:rsidR="00725168">
        <w:rPr>
          <w:rFonts w:eastAsia="Times New Roman" w:cs="Times New Roman"/>
          <w:color w:val="000000" w:themeColor="text1"/>
          <w:szCs w:val="24"/>
          <w:lang w:eastAsia="en-GB"/>
        </w:rPr>
        <w:t xml:space="preserve"> number 299154</w:t>
      </w:r>
      <w:r>
        <w:rPr>
          <w:rFonts w:eastAsia="Times New Roman" w:cs="Times New Roman"/>
          <w:color w:val="000000" w:themeColor="text1"/>
          <w:szCs w:val="24"/>
          <w:lang w:eastAsia="en-GB"/>
        </w:rPr>
        <w:t>)</w:t>
      </w:r>
      <w:r w:rsidR="009E6821">
        <w:rPr>
          <w:rFonts w:eastAsia="Times New Roman" w:cs="Times New Roman"/>
          <w:color w:val="000000" w:themeColor="text1"/>
          <w:szCs w:val="24"/>
          <w:lang w:eastAsia="en-GB"/>
        </w:rPr>
        <w:t xml:space="preserve"> and</w:t>
      </w:r>
      <w:r w:rsidR="0018667D">
        <w:rPr>
          <w:rFonts w:eastAsia="Times New Roman" w:cs="Times New Roman"/>
          <w:color w:val="000000" w:themeColor="text1"/>
          <w:szCs w:val="24"/>
          <w:lang w:eastAsia="en-GB"/>
        </w:rPr>
        <w:t xml:space="preserve"> the Local Government Association, </w:t>
      </w:r>
      <w:r w:rsidR="00A9511D">
        <w:rPr>
          <w:rFonts w:eastAsia="Times New Roman" w:cs="Times New Roman"/>
          <w:color w:val="000000" w:themeColor="text1"/>
          <w:szCs w:val="24"/>
          <w:lang w:eastAsia="en-GB"/>
        </w:rPr>
        <w:t>(</w:t>
      </w:r>
      <w:r w:rsidR="009E6821" w:rsidRPr="0018667D">
        <w:rPr>
          <w:rFonts w:eastAsia="Times New Roman" w:cs="Times New Roman"/>
          <w:color w:val="000000" w:themeColor="text1"/>
          <w:szCs w:val="24"/>
          <w:lang w:eastAsia="en-GB"/>
        </w:rPr>
        <w:t>LGA</w:t>
      </w:r>
      <w:r w:rsidR="00A9511D">
        <w:rPr>
          <w:rFonts w:eastAsia="Times New Roman" w:cs="Times New Roman"/>
          <w:color w:val="000000" w:themeColor="text1"/>
          <w:szCs w:val="24"/>
          <w:lang w:eastAsia="en-GB"/>
        </w:rPr>
        <w:t>)</w:t>
      </w:r>
      <w:r w:rsidR="00725168">
        <w:rPr>
          <w:rFonts w:eastAsia="Times New Roman" w:cs="Times New Roman"/>
          <w:color w:val="000000" w:themeColor="text1"/>
          <w:szCs w:val="24"/>
          <w:lang w:eastAsia="en-GB"/>
        </w:rPr>
        <w:t xml:space="preserve"> (private unlimited company number 11177145)</w:t>
      </w:r>
    </w:p>
    <w:p w:rsidR="006F3323" w:rsidRDefault="006F3323" w:rsidP="002D595F">
      <w:pPr>
        <w:pStyle w:val="ListParagraph"/>
        <w:numPr>
          <w:ilvl w:val="0"/>
          <w:numId w:val="2"/>
        </w:numPr>
        <w:rPr>
          <w:rFonts w:eastAsia="Times New Roman" w:cs="Times New Roman"/>
          <w:color w:val="000000" w:themeColor="text1"/>
          <w:szCs w:val="24"/>
          <w:lang w:eastAsia="en-GB"/>
        </w:rPr>
      </w:pPr>
      <w:r>
        <w:rPr>
          <w:rFonts w:eastAsia="Times New Roman" w:cs="Times New Roman"/>
          <w:color w:val="000000" w:themeColor="text1"/>
          <w:szCs w:val="24"/>
          <w:lang w:eastAsia="en-GB"/>
        </w:rPr>
        <w:t>Care Quality Commission</w:t>
      </w:r>
    </w:p>
    <w:p w:rsidR="0012578A" w:rsidRPr="006475A3" w:rsidRDefault="002D595F" w:rsidP="0012578A">
      <w:pPr>
        <w:pStyle w:val="ListParagraph"/>
        <w:numPr>
          <w:ilvl w:val="0"/>
          <w:numId w:val="2"/>
        </w:numPr>
        <w:rPr>
          <w:rFonts w:eastAsia="Times New Roman" w:cs="Times New Roman"/>
          <w:color w:val="000000" w:themeColor="text1"/>
          <w:szCs w:val="24"/>
          <w:lang w:eastAsia="en-GB"/>
        </w:rPr>
      </w:pPr>
      <w:r>
        <w:rPr>
          <w:rFonts w:eastAsia="Times New Roman" w:cs="Times New Roman"/>
          <w:color w:val="000000" w:themeColor="text1"/>
          <w:szCs w:val="24"/>
          <w:lang w:eastAsia="en-GB"/>
        </w:rPr>
        <w:t>Adult Social Care Research Unit,</w:t>
      </w:r>
      <w:r w:rsidR="0012578A">
        <w:rPr>
          <w:rFonts w:eastAsia="Times New Roman" w:cs="Times New Roman"/>
          <w:color w:val="000000" w:themeColor="text1"/>
          <w:szCs w:val="24"/>
          <w:lang w:eastAsia="en-GB"/>
        </w:rPr>
        <w:t xml:space="preserve"> a partnership between the </w:t>
      </w:r>
      <w:r w:rsidR="0012578A">
        <w:t xml:space="preserve">Personal Social Services Research Units at the London School of Economics and Political Science and the University of Kent and the Health and Social Care Workforce Research Unit at Kings College London. </w:t>
      </w:r>
    </w:p>
    <w:p w:rsidR="00E4747A" w:rsidRPr="00E4747A" w:rsidRDefault="00E4747A" w:rsidP="00B775D4">
      <w:pPr>
        <w:rPr>
          <w:rFonts w:eastAsia="Times New Roman" w:cs="Times New Roman"/>
          <w:color w:val="FF0000"/>
          <w:szCs w:val="24"/>
          <w:lang w:eastAsia="en-GB"/>
        </w:rPr>
      </w:pPr>
    </w:p>
    <w:sectPr w:rsidR="00E4747A" w:rsidRPr="00E4747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4E13" w:rsidRDefault="008B4E13" w:rsidP="0035617D">
      <w:pPr>
        <w:spacing w:after="0" w:line="240" w:lineRule="auto"/>
      </w:pPr>
      <w:r>
        <w:separator/>
      </w:r>
    </w:p>
  </w:endnote>
  <w:endnote w:type="continuationSeparator" w:id="0">
    <w:p w:rsidR="008B4E13" w:rsidRDefault="008B4E13" w:rsidP="0035617D">
      <w:pPr>
        <w:spacing w:after="0" w:line="240" w:lineRule="auto"/>
      </w:pPr>
      <w:r>
        <w:continuationSeparator/>
      </w:r>
    </w:p>
  </w:endnote>
  <w:endnote w:type="continuationNotice" w:id="1">
    <w:p w:rsidR="008B4E13" w:rsidRDefault="008B4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957612"/>
      <w:docPartObj>
        <w:docPartGallery w:val="Page Numbers (Bottom of Page)"/>
        <w:docPartUnique/>
      </w:docPartObj>
    </w:sdtPr>
    <w:sdtEndPr>
      <w:rPr>
        <w:noProof/>
      </w:rPr>
    </w:sdtEndPr>
    <w:sdtContent>
      <w:p w:rsidR="00B15132" w:rsidRDefault="00B151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C4C9D" w:rsidRDefault="007C4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4E13" w:rsidRDefault="008B4E13" w:rsidP="0035617D">
      <w:pPr>
        <w:spacing w:after="0" w:line="240" w:lineRule="auto"/>
      </w:pPr>
      <w:r>
        <w:separator/>
      </w:r>
    </w:p>
  </w:footnote>
  <w:footnote w:type="continuationSeparator" w:id="0">
    <w:p w:rsidR="008B4E13" w:rsidRDefault="008B4E13" w:rsidP="0035617D">
      <w:pPr>
        <w:spacing w:after="0" w:line="240" w:lineRule="auto"/>
      </w:pPr>
      <w:r>
        <w:continuationSeparator/>
      </w:r>
    </w:p>
  </w:footnote>
  <w:footnote w:type="continuationNotice" w:id="1">
    <w:p w:rsidR="008B4E13" w:rsidRDefault="008B4E13">
      <w:pPr>
        <w:spacing w:after="0" w:line="240" w:lineRule="auto"/>
      </w:pPr>
    </w:p>
  </w:footnote>
  <w:footnote w:id="2">
    <w:p w:rsidR="007C4C9D" w:rsidRDefault="007C4C9D">
      <w:pPr>
        <w:pStyle w:val="FootnoteText"/>
      </w:pPr>
      <w:r>
        <w:rPr>
          <w:rStyle w:val="FootnoteReference"/>
        </w:rPr>
        <w:footnoteRef/>
      </w:r>
      <w:r>
        <w:t xml:space="preserve"> </w:t>
      </w:r>
      <w:hyperlink r:id="rId1" w:history="1">
        <w:r w:rsidRPr="001C2604">
          <w:rPr>
            <w:rStyle w:val="Hyperlink"/>
          </w:rPr>
          <w:t>2012 c.7</w:t>
        </w:r>
      </w:hyperlink>
    </w:p>
  </w:footnote>
  <w:footnote w:id="3">
    <w:p w:rsidR="007C4C9D" w:rsidRDefault="007C4C9D" w:rsidP="00AE4790">
      <w:pPr>
        <w:pStyle w:val="FootnoteText"/>
      </w:pPr>
      <w:r>
        <w:rPr>
          <w:rStyle w:val="FootnoteReference"/>
        </w:rPr>
        <w:footnoteRef/>
      </w:r>
      <w:r>
        <w:t xml:space="preserve"> </w:t>
      </w:r>
      <w:hyperlink r:id="rId2" w:history="1">
        <w:r>
          <w:rPr>
            <w:rStyle w:val="Hyperlink"/>
          </w:rPr>
          <w:t>S.I 2013 No. 259</w:t>
        </w:r>
      </w:hyperlink>
    </w:p>
  </w:footnote>
  <w:footnote w:id="4">
    <w:p w:rsidR="007C4C9D" w:rsidRDefault="007C4C9D">
      <w:pPr>
        <w:pStyle w:val="FootnoteText"/>
      </w:pPr>
      <w:r>
        <w:rPr>
          <w:rStyle w:val="FootnoteReference"/>
        </w:rPr>
        <w:footnoteRef/>
      </w:r>
      <w:r>
        <w:t xml:space="preserve"> </w:t>
      </w:r>
      <w:hyperlink r:id="rId3" w:history="1">
        <w:r w:rsidRPr="001C2604">
          <w:rPr>
            <w:rStyle w:val="Hyperlink"/>
          </w:rPr>
          <w:t>2014 c.23</w:t>
        </w:r>
      </w:hyperlink>
    </w:p>
  </w:footnote>
  <w:footnote w:id="5">
    <w:p w:rsidR="00DB4F08" w:rsidRDefault="00DB4F08" w:rsidP="00DB4F08">
      <w:pPr>
        <w:pStyle w:val="FootnoteText"/>
      </w:pPr>
      <w:r>
        <w:rPr>
          <w:rStyle w:val="FootnoteReference"/>
        </w:rPr>
        <w:footnoteRef/>
      </w:r>
      <w:r w:rsidRPr="00644956">
        <w:rPr>
          <w:rFonts w:cstheme="minorHAnsi"/>
          <w:color w:val="000000" w:themeColor="text1"/>
        </w:rPr>
        <w:t>T</w:t>
      </w:r>
      <w:r>
        <w:rPr>
          <w:rFonts w:cstheme="minorHAnsi"/>
          <w:color w:val="000000" w:themeColor="text1"/>
        </w:rPr>
        <w:t>h</w:t>
      </w:r>
      <w:r w:rsidRPr="00644956">
        <w:rPr>
          <w:rFonts w:cstheme="minorHAnsi"/>
          <w:iCs/>
          <w:color w:val="000000" w:themeColor="text1"/>
        </w:rPr>
        <w:t>e information would be pseudonymised in the sense that it will not be disseminated by any means which may lead to the identification of an individual, unless it would otherwise be lawful in the circumstances for NHS Digital to do so</w:t>
      </w:r>
    </w:p>
  </w:footnote>
  <w:footnote w:id="6">
    <w:p w:rsidR="00943076" w:rsidRDefault="00943076" w:rsidP="00943076">
      <w:pPr>
        <w:pStyle w:val="FootnoteText"/>
      </w:pPr>
      <w:r>
        <w:rPr>
          <w:rStyle w:val="FootnoteReference"/>
        </w:rPr>
        <w:footnoteRef/>
      </w:r>
      <w:r>
        <w:t xml:space="preserve"> </w:t>
      </w:r>
      <w:hyperlink r:id="rId4" w:history="1">
        <w:r w:rsidRPr="000413E7">
          <w:rPr>
            <w:rStyle w:val="Hyperlink"/>
          </w:rPr>
          <w:t>https://ico.org.uk/media/for-organisations/documents/1061/anonymisation-code.pdf</w:t>
        </w:r>
      </w:hyperlink>
      <w:r w:rsidRPr="000413E7">
        <w:t xml:space="preserve"> or any subsequent document </w:t>
      </w:r>
      <w:r>
        <w:t xml:space="preserve">guidance or code </w:t>
      </w:r>
      <w:r w:rsidRPr="000413E7">
        <w:t>on the same topic published by the 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6ECC"/>
    <w:multiLevelType w:val="hybridMultilevel"/>
    <w:tmpl w:val="212887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0F27ED"/>
    <w:multiLevelType w:val="hybridMultilevel"/>
    <w:tmpl w:val="481EFAB6"/>
    <w:lvl w:ilvl="0" w:tplc="A64C4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1C1B"/>
    <w:multiLevelType w:val="hybridMultilevel"/>
    <w:tmpl w:val="D19C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30968"/>
    <w:multiLevelType w:val="hybridMultilevel"/>
    <w:tmpl w:val="3BA0C6B8"/>
    <w:lvl w:ilvl="0" w:tplc="509246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2E6422"/>
    <w:multiLevelType w:val="hybridMultilevel"/>
    <w:tmpl w:val="C0EE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16AF8"/>
    <w:multiLevelType w:val="hybridMultilevel"/>
    <w:tmpl w:val="39FC058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F4846"/>
    <w:multiLevelType w:val="hybridMultilevel"/>
    <w:tmpl w:val="DC4009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CE3143"/>
    <w:multiLevelType w:val="hybridMultilevel"/>
    <w:tmpl w:val="2E2804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17FF6"/>
    <w:multiLevelType w:val="hybridMultilevel"/>
    <w:tmpl w:val="0002AD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2983133"/>
    <w:multiLevelType w:val="hybridMultilevel"/>
    <w:tmpl w:val="57EA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F2D59"/>
    <w:multiLevelType w:val="hybridMultilevel"/>
    <w:tmpl w:val="D632B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0121BD"/>
    <w:multiLevelType w:val="hybridMultilevel"/>
    <w:tmpl w:val="ECDA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77A1E"/>
    <w:multiLevelType w:val="hybridMultilevel"/>
    <w:tmpl w:val="4D60C41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
  </w:num>
  <w:num w:numId="5">
    <w:abstractNumId w:val="11"/>
  </w:num>
  <w:num w:numId="6">
    <w:abstractNumId w:val="9"/>
  </w:num>
  <w:num w:numId="7">
    <w:abstractNumId w:val="4"/>
  </w:num>
  <w:num w:numId="8">
    <w:abstractNumId w:val="8"/>
  </w:num>
  <w:num w:numId="9">
    <w:abstractNumId w:val="12"/>
  </w:num>
  <w:num w:numId="10">
    <w:abstractNumId w:val="5"/>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7D"/>
    <w:rsid w:val="00000896"/>
    <w:rsid w:val="0000174F"/>
    <w:rsid w:val="00014128"/>
    <w:rsid w:val="00015A62"/>
    <w:rsid w:val="000205AA"/>
    <w:rsid w:val="00023020"/>
    <w:rsid w:val="0002685C"/>
    <w:rsid w:val="000413E7"/>
    <w:rsid w:val="0004614E"/>
    <w:rsid w:val="00052287"/>
    <w:rsid w:val="00054E3B"/>
    <w:rsid w:val="00055E6C"/>
    <w:rsid w:val="00061CA2"/>
    <w:rsid w:val="00064EFB"/>
    <w:rsid w:val="000662AC"/>
    <w:rsid w:val="00074078"/>
    <w:rsid w:val="00077086"/>
    <w:rsid w:val="000773A9"/>
    <w:rsid w:val="00081BC3"/>
    <w:rsid w:val="00082F0B"/>
    <w:rsid w:val="00091D93"/>
    <w:rsid w:val="0009629F"/>
    <w:rsid w:val="0009739F"/>
    <w:rsid w:val="000A413A"/>
    <w:rsid w:val="000B17D8"/>
    <w:rsid w:val="000B37EF"/>
    <w:rsid w:val="000B4F21"/>
    <w:rsid w:val="000B734C"/>
    <w:rsid w:val="000B7C45"/>
    <w:rsid w:val="000C7296"/>
    <w:rsid w:val="000D02A8"/>
    <w:rsid w:val="000D0649"/>
    <w:rsid w:val="000D151A"/>
    <w:rsid w:val="000D18AD"/>
    <w:rsid w:val="000D7425"/>
    <w:rsid w:val="000E6FCD"/>
    <w:rsid w:val="000F4E23"/>
    <w:rsid w:val="000F5C27"/>
    <w:rsid w:val="001014D2"/>
    <w:rsid w:val="00105F84"/>
    <w:rsid w:val="0011540E"/>
    <w:rsid w:val="00115EA9"/>
    <w:rsid w:val="001165A0"/>
    <w:rsid w:val="00120DD1"/>
    <w:rsid w:val="00123262"/>
    <w:rsid w:val="00124D2F"/>
    <w:rsid w:val="0012578A"/>
    <w:rsid w:val="0014296E"/>
    <w:rsid w:val="00143C08"/>
    <w:rsid w:val="00144E0C"/>
    <w:rsid w:val="00144E76"/>
    <w:rsid w:val="00150F4D"/>
    <w:rsid w:val="001532BB"/>
    <w:rsid w:val="00166A99"/>
    <w:rsid w:val="00171463"/>
    <w:rsid w:val="001719D5"/>
    <w:rsid w:val="0017701C"/>
    <w:rsid w:val="00180BCA"/>
    <w:rsid w:val="00180FD7"/>
    <w:rsid w:val="00181EBC"/>
    <w:rsid w:val="00182CF6"/>
    <w:rsid w:val="001858D1"/>
    <w:rsid w:val="0018667D"/>
    <w:rsid w:val="0019291F"/>
    <w:rsid w:val="00192D3A"/>
    <w:rsid w:val="001A4253"/>
    <w:rsid w:val="001A455C"/>
    <w:rsid w:val="001A4C6D"/>
    <w:rsid w:val="001B15FE"/>
    <w:rsid w:val="001B3E3E"/>
    <w:rsid w:val="001B3FEF"/>
    <w:rsid w:val="001B546E"/>
    <w:rsid w:val="001B5BA2"/>
    <w:rsid w:val="001B77AC"/>
    <w:rsid w:val="001B7BBA"/>
    <w:rsid w:val="001C2604"/>
    <w:rsid w:val="001C3433"/>
    <w:rsid w:val="001C43F4"/>
    <w:rsid w:val="001D6660"/>
    <w:rsid w:val="001E2105"/>
    <w:rsid w:val="001E26BF"/>
    <w:rsid w:val="001E32F4"/>
    <w:rsid w:val="001F3BFE"/>
    <w:rsid w:val="001F6E7A"/>
    <w:rsid w:val="002200F5"/>
    <w:rsid w:val="00220D6D"/>
    <w:rsid w:val="0022502B"/>
    <w:rsid w:val="00227938"/>
    <w:rsid w:val="0023029F"/>
    <w:rsid w:val="002304D4"/>
    <w:rsid w:val="002344FE"/>
    <w:rsid w:val="00236BD9"/>
    <w:rsid w:val="00237A79"/>
    <w:rsid w:val="00251A02"/>
    <w:rsid w:val="00253C95"/>
    <w:rsid w:val="00254CC3"/>
    <w:rsid w:val="00255D34"/>
    <w:rsid w:val="00262A6D"/>
    <w:rsid w:val="00264198"/>
    <w:rsid w:val="002670A1"/>
    <w:rsid w:val="00270C90"/>
    <w:rsid w:val="00271328"/>
    <w:rsid w:val="00276ADC"/>
    <w:rsid w:val="002811A4"/>
    <w:rsid w:val="002859E3"/>
    <w:rsid w:val="0028650E"/>
    <w:rsid w:val="00292607"/>
    <w:rsid w:val="00294B7F"/>
    <w:rsid w:val="002A12DE"/>
    <w:rsid w:val="002A728D"/>
    <w:rsid w:val="002B29E1"/>
    <w:rsid w:val="002B73B3"/>
    <w:rsid w:val="002D595F"/>
    <w:rsid w:val="002F1AD5"/>
    <w:rsid w:val="002F1C6D"/>
    <w:rsid w:val="002F5DD8"/>
    <w:rsid w:val="00302E47"/>
    <w:rsid w:val="00304B0A"/>
    <w:rsid w:val="00331A5F"/>
    <w:rsid w:val="00332332"/>
    <w:rsid w:val="00337475"/>
    <w:rsid w:val="003379FB"/>
    <w:rsid w:val="00345437"/>
    <w:rsid w:val="0035617D"/>
    <w:rsid w:val="003618F0"/>
    <w:rsid w:val="00361A6C"/>
    <w:rsid w:val="00364096"/>
    <w:rsid w:val="00367499"/>
    <w:rsid w:val="0037675C"/>
    <w:rsid w:val="00377A42"/>
    <w:rsid w:val="00381C20"/>
    <w:rsid w:val="00381D16"/>
    <w:rsid w:val="0039299A"/>
    <w:rsid w:val="003958DD"/>
    <w:rsid w:val="003A0C2E"/>
    <w:rsid w:val="003A0D51"/>
    <w:rsid w:val="003A69D4"/>
    <w:rsid w:val="003B24C6"/>
    <w:rsid w:val="003B34D7"/>
    <w:rsid w:val="003B7790"/>
    <w:rsid w:val="003B78A0"/>
    <w:rsid w:val="003D2742"/>
    <w:rsid w:val="003D6F45"/>
    <w:rsid w:val="003E1CCC"/>
    <w:rsid w:val="003E1F87"/>
    <w:rsid w:val="003E681F"/>
    <w:rsid w:val="003F0BE8"/>
    <w:rsid w:val="003F45A4"/>
    <w:rsid w:val="003F4CDB"/>
    <w:rsid w:val="004037C2"/>
    <w:rsid w:val="0040452C"/>
    <w:rsid w:val="00406EA2"/>
    <w:rsid w:val="00413AEE"/>
    <w:rsid w:val="00416D4C"/>
    <w:rsid w:val="004174CB"/>
    <w:rsid w:val="00417995"/>
    <w:rsid w:val="00423383"/>
    <w:rsid w:val="0043249B"/>
    <w:rsid w:val="004442DE"/>
    <w:rsid w:val="00446992"/>
    <w:rsid w:val="004470F7"/>
    <w:rsid w:val="004472D2"/>
    <w:rsid w:val="004479E3"/>
    <w:rsid w:val="00452820"/>
    <w:rsid w:val="00452AF5"/>
    <w:rsid w:val="004564A6"/>
    <w:rsid w:val="00456B07"/>
    <w:rsid w:val="004751CB"/>
    <w:rsid w:val="00475530"/>
    <w:rsid w:val="00475D9C"/>
    <w:rsid w:val="00476F00"/>
    <w:rsid w:val="004823A9"/>
    <w:rsid w:val="00485F03"/>
    <w:rsid w:val="004866A4"/>
    <w:rsid w:val="00487DB2"/>
    <w:rsid w:val="004918D3"/>
    <w:rsid w:val="004A6327"/>
    <w:rsid w:val="004A75D1"/>
    <w:rsid w:val="004A7743"/>
    <w:rsid w:val="004B0775"/>
    <w:rsid w:val="004B3825"/>
    <w:rsid w:val="004B73F0"/>
    <w:rsid w:val="004B7C55"/>
    <w:rsid w:val="004C277F"/>
    <w:rsid w:val="004C4FCD"/>
    <w:rsid w:val="004C5B52"/>
    <w:rsid w:val="004D112E"/>
    <w:rsid w:val="004E5DF0"/>
    <w:rsid w:val="004F0362"/>
    <w:rsid w:val="004F05A7"/>
    <w:rsid w:val="00505747"/>
    <w:rsid w:val="00506049"/>
    <w:rsid w:val="005102F1"/>
    <w:rsid w:val="005134F7"/>
    <w:rsid w:val="00513F9B"/>
    <w:rsid w:val="00514D91"/>
    <w:rsid w:val="0051601B"/>
    <w:rsid w:val="00520451"/>
    <w:rsid w:val="00522A82"/>
    <w:rsid w:val="00525E69"/>
    <w:rsid w:val="00526181"/>
    <w:rsid w:val="00526F39"/>
    <w:rsid w:val="0053164F"/>
    <w:rsid w:val="0053171A"/>
    <w:rsid w:val="00531DA7"/>
    <w:rsid w:val="005343E6"/>
    <w:rsid w:val="00542345"/>
    <w:rsid w:val="00552588"/>
    <w:rsid w:val="00553EAB"/>
    <w:rsid w:val="00565A51"/>
    <w:rsid w:val="00566858"/>
    <w:rsid w:val="00567573"/>
    <w:rsid w:val="00567F9C"/>
    <w:rsid w:val="005733FF"/>
    <w:rsid w:val="00591BDF"/>
    <w:rsid w:val="005B7D23"/>
    <w:rsid w:val="005D1DB9"/>
    <w:rsid w:val="005D2B66"/>
    <w:rsid w:val="005D6DC6"/>
    <w:rsid w:val="005D6F35"/>
    <w:rsid w:val="005F2B2C"/>
    <w:rsid w:val="005F3AA3"/>
    <w:rsid w:val="005F613B"/>
    <w:rsid w:val="005F65F5"/>
    <w:rsid w:val="006162AC"/>
    <w:rsid w:val="00616564"/>
    <w:rsid w:val="00616A62"/>
    <w:rsid w:val="00617A3E"/>
    <w:rsid w:val="00620255"/>
    <w:rsid w:val="00622A84"/>
    <w:rsid w:val="00627802"/>
    <w:rsid w:val="00630C17"/>
    <w:rsid w:val="00633622"/>
    <w:rsid w:val="00634A63"/>
    <w:rsid w:val="00644956"/>
    <w:rsid w:val="006475A3"/>
    <w:rsid w:val="00656278"/>
    <w:rsid w:val="00657906"/>
    <w:rsid w:val="006606D2"/>
    <w:rsid w:val="006702C2"/>
    <w:rsid w:val="00675D1D"/>
    <w:rsid w:val="00677442"/>
    <w:rsid w:val="00682D8B"/>
    <w:rsid w:val="00692223"/>
    <w:rsid w:val="00692695"/>
    <w:rsid w:val="006A1715"/>
    <w:rsid w:val="006A2641"/>
    <w:rsid w:val="006A7826"/>
    <w:rsid w:val="006C0A50"/>
    <w:rsid w:val="006C3CF5"/>
    <w:rsid w:val="006C4E8F"/>
    <w:rsid w:val="006C5E2D"/>
    <w:rsid w:val="006C6886"/>
    <w:rsid w:val="006C6E39"/>
    <w:rsid w:val="006D18A1"/>
    <w:rsid w:val="006F0231"/>
    <w:rsid w:val="006F1F89"/>
    <w:rsid w:val="006F228D"/>
    <w:rsid w:val="006F3323"/>
    <w:rsid w:val="006F7A45"/>
    <w:rsid w:val="00715CF7"/>
    <w:rsid w:val="007165A9"/>
    <w:rsid w:val="00717B9A"/>
    <w:rsid w:val="007219C5"/>
    <w:rsid w:val="0072241F"/>
    <w:rsid w:val="00725168"/>
    <w:rsid w:val="00727437"/>
    <w:rsid w:val="0073176B"/>
    <w:rsid w:val="007318C8"/>
    <w:rsid w:val="0073507E"/>
    <w:rsid w:val="00736D05"/>
    <w:rsid w:val="007371EF"/>
    <w:rsid w:val="00740530"/>
    <w:rsid w:val="007423D8"/>
    <w:rsid w:val="00746246"/>
    <w:rsid w:val="00746B32"/>
    <w:rsid w:val="0075047E"/>
    <w:rsid w:val="007506E7"/>
    <w:rsid w:val="007516D5"/>
    <w:rsid w:val="007535BE"/>
    <w:rsid w:val="00756C81"/>
    <w:rsid w:val="00764DA5"/>
    <w:rsid w:val="0076693C"/>
    <w:rsid w:val="0076725E"/>
    <w:rsid w:val="00771ADC"/>
    <w:rsid w:val="007727EE"/>
    <w:rsid w:val="0077334E"/>
    <w:rsid w:val="00773E44"/>
    <w:rsid w:val="00776FCA"/>
    <w:rsid w:val="007835D2"/>
    <w:rsid w:val="00796DFC"/>
    <w:rsid w:val="007A1C16"/>
    <w:rsid w:val="007A24FF"/>
    <w:rsid w:val="007A6248"/>
    <w:rsid w:val="007A7958"/>
    <w:rsid w:val="007B0230"/>
    <w:rsid w:val="007B5746"/>
    <w:rsid w:val="007C16E1"/>
    <w:rsid w:val="007C28AC"/>
    <w:rsid w:val="007C4C9D"/>
    <w:rsid w:val="007C79DC"/>
    <w:rsid w:val="007D29BF"/>
    <w:rsid w:val="007D40E1"/>
    <w:rsid w:val="007D46D7"/>
    <w:rsid w:val="007D4F90"/>
    <w:rsid w:val="007E658B"/>
    <w:rsid w:val="008005B8"/>
    <w:rsid w:val="00801A57"/>
    <w:rsid w:val="0080588F"/>
    <w:rsid w:val="00813AE5"/>
    <w:rsid w:val="00814BAC"/>
    <w:rsid w:val="008157BB"/>
    <w:rsid w:val="00816241"/>
    <w:rsid w:val="00817C64"/>
    <w:rsid w:val="00821A4A"/>
    <w:rsid w:val="008258A1"/>
    <w:rsid w:val="00841067"/>
    <w:rsid w:val="008475EF"/>
    <w:rsid w:val="00854B86"/>
    <w:rsid w:val="00864CC7"/>
    <w:rsid w:val="00871553"/>
    <w:rsid w:val="00875BF1"/>
    <w:rsid w:val="008806FC"/>
    <w:rsid w:val="00885E4D"/>
    <w:rsid w:val="00886468"/>
    <w:rsid w:val="00892349"/>
    <w:rsid w:val="00893925"/>
    <w:rsid w:val="008976C2"/>
    <w:rsid w:val="008A06CD"/>
    <w:rsid w:val="008A6F09"/>
    <w:rsid w:val="008B4DF4"/>
    <w:rsid w:val="008B4E13"/>
    <w:rsid w:val="008B4FDB"/>
    <w:rsid w:val="008B7FB1"/>
    <w:rsid w:val="008C08BC"/>
    <w:rsid w:val="008C09B1"/>
    <w:rsid w:val="008C237D"/>
    <w:rsid w:val="008C3055"/>
    <w:rsid w:val="008C3764"/>
    <w:rsid w:val="008C6C9E"/>
    <w:rsid w:val="008C7E66"/>
    <w:rsid w:val="008D0C15"/>
    <w:rsid w:val="008E546F"/>
    <w:rsid w:val="008F3602"/>
    <w:rsid w:val="008F5922"/>
    <w:rsid w:val="008F7B61"/>
    <w:rsid w:val="00907952"/>
    <w:rsid w:val="00910119"/>
    <w:rsid w:val="00913F07"/>
    <w:rsid w:val="00915989"/>
    <w:rsid w:val="0092022A"/>
    <w:rsid w:val="00927F40"/>
    <w:rsid w:val="00937D5C"/>
    <w:rsid w:val="009413E6"/>
    <w:rsid w:val="00942807"/>
    <w:rsid w:val="00943076"/>
    <w:rsid w:val="00953B95"/>
    <w:rsid w:val="00954754"/>
    <w:rsid w:val="009555EE"/>
    <w:rsid w:val="009572B6"/>
    <w:rsid w:val="00980543"/>
    <w:rsid w:val="00981411"/>
    <w:rsid w:val="0098548D"/>
    <w:rsid w:val="00987312"/>
    <w:rsid w:val="0098796E"/>
    <w:rsid w:val="009978B4"/>
    <w:rsid w:val="009A3034"/>
    <w:rsid w:val="009A5A32"/>
    <w:rsid w:val="009B14C9"/>
    <w:rsid w:val="009B6211"/>
    <w:rsid w:val="009C10AA"/>
    <w:rsid w:val="009C18D2"/>
    <w:rsid w:val="009C3D35"/>
    <w:rsid w:val="009C52BE"/>
    <w:rsid w:val="009C5FB4"/>
    <w:rsid w:val="009C7C27"/>
    <w:rsid w:val="009D53C5"/>
    <w:rsid w:val="009D73A0"/>
    <w:rsid w:val="009D7F19"/>
    <w:rsid w:val="009E01DA"/>
    <w:rsid w:val="009E6821"/>
    <w:rsid w:val="009F02C5"/>
    <w:rsid w:val="009F4AAE"/>
    <w:rsid w:val="009F6396"/>
    <w:rsid w:val="00A0204A"/>
    <w:rsid w:val="00A03360"/>
    <w:rsid w:val="00A05440"/>
    <w:rsid w:val="00A06CA5"/>
    <w:rsid w:val="00A0717F"/>
    <w:rsid w:val="00A204F6"/>
    <w:rsid w:val="00A22DF2"/>
    <w:rsid w:val="00A317BA"/>
    <w:rsid w:val="00A31E04"/>
    <w:rsid w:val="00A32158"/>
    <w:rsid w:val="00A354BF"/>
    <w:rsid w:val="00A35BA2"/>
    <w:rsid w:val="00A37962"/>
    <w:rsid w:val="00A410AB"/>
    <w:rsid w:val="00A46A94"/>
    <w:rsid w:val="00A46F66"/>
    <w:rsid w:val="00A5238D"/>
    <w:rsid w:val="00A52E53"/>
    <w:rsid w:val="00A54E8F"/>
    <w:rsid w:val="00A60D16"/>
    <w:rsid w:val="00A66768"/>
    <w:rsid w:val="00A66B9B"/>
    <w:rsid w:val="00A67E93"/>
    <w:rsid w:val="00A77283"/>
    <w:rsid w:val="00A806DF"/>
    <w:rsid w:val="00A80AD6"/>
    <w:rsid w:val="00A836F0"/>
    <w:rsid w:val="00A860A4"/>
    <w:rsid w:val="00A87FE8"/>
    <w:rsid w:val="00A92B8D"/>
    <w:rsid w:val="00A93DB3"/>
    <w:rsid w:val="00A9489A"/>
    <w:rsid w:val="00A94C26"/>
    <w:rsid w:val="00A9511D"/>
    <w:rsid w:val="00A9554A"/>
    <w:rsid w:val="00A959A9"/>
    <w:rsid w:val="00A977F7"/>
    <w:rsid w:val="00A97FA0"/>
    <w:rsid w:val="00AA20EB"/>
    <w:rsid w:val="00AA3051"/>
    <w:rsid w:val="00AA7FDD"/>
    <w:rsid w:val="00AB1122"/>
    <w:rsid w:val="00AB1BC4"/>
    <w:rsid w:val="00AB31D7"/>
    <w:rsid w:val="00AC2F12"/>
    <w:rsid w:val="00AD6357"/>
    <w:rsid w:val="00AD73F3"/>
    <w:rsid w:val="00AE2EC4"/>
    <w:rsid w:val="00AE4790"/>
    <w:rsid w:val="00AF7B37"/>
    <w:rsid w:val="00B00B66"/>
    <w:rsid w:val="00B04A1C"/>
    <w:rsid w:val="00B04EAF"/>
    <w:rsid w:val="00B06D1B"/>
    <w:rsid w:val="00B15132"/>
    <w:rsid w:val="00B15432"/>
    <w:rsid w:val="00B20EE9"/>
    <w:rsid w:val="00B221BB"/>
    <w:rsid w:val="00B27C16"/>
    <w:rsid w:val="00B33D09"/>
    <w:rsid w:val="00B34AAF"/>
    <w:rsid w:val="00B34C56"/>
    <w:rsid w:val="00B3710E"/>
    <w:rsid w:val="00B452E8"/>
    <w:rsid w:val="00B46DA5"/>
    <w:rsid w:val="00B5096A"/>
    <w:rsid w:val="00B51783"/>
    <w:rsid w:val="00B51CCA"/>
    <w:rsid w:val="00B52C2F"/>
    <w:rsid w:val="00B54EE4"/>
    <w:rsid w:val="00B64C72"/>
    <w:rsid w:val="00B66730"/>
    <w:rsid w:val="00B775D4"/>
    <w:rsid w:val="00B81100"/>
    <w:rsid w:val="00B83592"/>
    <w:rsid w:val="00B84294"/>
    <w:rsid w:val="00B85B7E"/>
    <w:rsid w:val="00B86A1C"/>
    <w:rsid w:val="00B86F0F"/>
    <w:rsid w:val="00B901D3"/>
    <w:rsid w:val="00B90A08"/>
    <w:rsid w:val="00B925F0"/>
    <w:rsid w:val="00B95070"/>
    <w:rsid w:val="00B97BF2"/>
    <w:rsid w:val="00BA7B23"/>
    <w:rsid w:val="00BB309A"/>
    <w:rsid w:val="00BB46E1"/>
    <w:rsid w:val="00BB7890"/>
    <w:rsid w:val="00BC0834"/>
    <w:rsid w:val="00BC7F6F"/>
    <w:rsid w:val="00BD0428"/>
    <w:rsid w:val="00BD357E"/>
    <w:rsid w:val="00BD5CDB"/>
    <w:rsid w:val="00BD7BF2"/>
    <w:rsid w:val="00BF3D35"/>
    <w:rsid w:val="00C10620"/>
    <w:rsid w:val="00C178F0"/>
    <w:rsid w:val="00C25B3B"/>
    <w:rsid w:val="00C26E66"/>
    <w:rsid w:val="00C37B57"/>
    <w:rsid w:val="00C466D3"/>
    <w:rsid w:val="00C46734"/>
    <w:rsid w:val="00C4785F"/>
    <w:rsid w:val="00C47B76"/>
    <w:rsid w:val="00C47BD6"/>
    <w:rsid w:val="00C52231"/>
    <w:rsid w:val="00C53B2E"/>
    <w:rsid w:val="00C548EF"/>
    <w:rsid w:val="00C636F7"/>
    <w:rsid w:val="00C63810"/>
    <w:rsid w:val="00C670EF"/>
    <w:rsid w:val="00C671BC"/>
    <w:rsid w:val="00C70638"/>
    <w:rsid w:val="00C707B9"/>
    <w:rsid w:val="00C75B93"/>
    <w:rsid w:val="00C7676A"/>
    <w:rsid w:val="00C81233"/>
    <w:rsid w:val="00C83A92"/>
    <w:rsid w:val="00C862A2"/>
    <w:rsid w:val="00C867FA"/>
    <w:rsid w:val="00C875CE"/>
    <w:rsid w:val="00C91274"/>
    <w:rsid w:val="00CB2FED"/>
    <w:rsid w:val="00CC110D"/>
    <w:rsid w:val="00CC4EA9"/>
    <w:rsid w:val="00CC4F30"/>
    <w:rsid w:val="00CC5009"/>
    <w:rsid w:val="00CD28EA"/>
    <w:rsid w:val="00CE17F1"/>
    <w:rsid w:val="00CE4DEA"/>
    <w:rsid w:val="00CE71E7"/>
    <w:rsid w:val="00CF0358"/>
    <w:rsid w:val="00CF0E79"/>
    <w:rsid w:val="00CF343C"/>
    <w:rsid w:val="00CF79F1"/>
    <w:rsid w:val="00D0008A"/>
    <w:rsid w:val="00D01B9B"/>
    <w:rsid w:val="00D0285F"/>
    <w:rsid w:val="00D060F6"/>
    <w:rsid w:val="00D10FE3"/>
    <w:rsid w:val="00D133CF"/>
    <w:rsid w:val="00D14D30"/>
    <w:rsid w:val="00D16846"/>
    <w:rsid w:val="00D20468"/>
    <w:rsid w:val="00D205EF"/>
    <w:rsid w:val="00D236A0"/>
    <w:rsid w:val="00D303BB"/>
    <w:rsid w:val="00D40D67"/>
    <w:rsid w:val="00D44D48"/>
    <w:rsid w:val="00D45234"/>
    <w:rsid w:val="00D5138C"/>
    <w:rsid w:val="00D56851"/>
    <w:rsid w:val="00D56A48"/>
    <w:rsid w:val="00D570BE"/>
    <w:rsid w:val="00D60711"/>
    <w:rsid w:val="00D64A50"/>
    <w:rsid w:val="00D65483"/>
    <w:rsid w:val="00D6720D"/>
    <w:rsid w:val="00D7033F"/>
    <w:rsid w:val="00D705BA"/>
    <w:rsid w:val="00D8150C"/>
    <w:rsid w:val="00D83E52"/>
    <w:rsid w:val="00D91A3D"/>
    <w:rsid w:val="00D95D99"/>
    <w:rsid w:val="00D9776F"/>
    <w:rsid w:val="00DB242C"/>
    <w:rsid w:val="00DB2EB4"/>
    <w:rsid w:val="00DB4E6F"/>
    <w:rsid w:val="00DB4F08"/>
    <w:rsid w:val="00DB6925"/>
    <w:rsid w:val="00DC0190"/>
    <w:rsid w:val="00DC03DA"/>
    <w:rsid w:val="00DC1CA6"/>
    <w:rsid w:val="00DC5C00"/>
    <w:rsid w:val="00DC6BEB"/>
    <w:rsid w:val="00DC772A"/>
    <w:rsid w:val="00DD4518"/>
    <w:rsid w:val="00DD4ED7"/>
    <w:rsid w:val="00DD7B7D"/>
    <w:rsid w:val="00DE0633"/>
    <w:rsid w:val="00DE288F"/>
    <w:rsid w:val="00DE4114"/>
    <w:rsid w:val="00DE6439"/>
    <w:rsid w:val="00DE6900"/>
    <w:rsid w:val="00DF0200"/>
    <w:rsid w:val="00DF3B77"/>
    <w:rsid w:val="00DF6CD5"/>
    <w:rsid w:val="00E04CC5"/>
    <w:rsid w:val="00E163E1"/>
    <w:rsid w:val="00E16C69"/>
    <w:rsid w:val="00E21F0F"/>
    <w:rsid w:val="00E22007"/>
    <w:rsid w:val="00E238CD"/>
    <w:rsid w:val="00E24014"/>
    <w:rsid w:val="00E26456"/>
    <w:rsid w:val="00E313D3"/>
    <w:rsid w:val="00E36EDC"/>
    <w:rsid w:val="00E37190"/>
    <w:rsid w:val="00E42144"/>
    <w:rsid w:val="00E434F1"/>
    <w:rsid w:val="00E4747A"/>
    <w:rsid w:val="00E51D60"/>
    <w:rsid w:val="00E547B0"/>
    <w:rsid w:val="00E60417"/>
    <w:rsid w:val="00E720E6"/>
    <w:rsid w:val="00E734F5"/>
    <w:rsid w:val="00E75C20"/>
    <w:rsid w:val="00E77C2D"/>
    <w:rsid w:val="00E81E57"/>
    <w:rsid w:val="00E84001"/>
    <w:rsid w:val="00E8779F"/>
    <w:rsid w:val="00E90F67"/>
    <w:rsid w:val="00E91604"/>
    <w:rsid w:val="00E92E4F"/>
    <w:rsid w:val="00E95790"/>
    <w:rsid w:val="00E966AA"/>
    <w:rsid w:val="00E9780B"/>
    <w:rsid w:val="00EA4445"/>
    <w:rsid w:val="00EA5753"/>
    <w:rsid w:val="00EB0C90"/>
    <w:rsid w:val="00EB1D3D"/>
    <w:rsid w:val="00EB67D0"/>
    <w:rsid w:val="00EC6786"/>
    <w:rsid w:val="00EC7143"/>
    <w:rsid w:val="00EC798E"/>
    <w:rsid w:val="00ED292A"/>
    <w:rsid w:val="00ED2C75"/>
    <w:rsid w:val="00ED3AE2"/>
    <w:rsid w:val="00ED5A42"/>
    <w:rsid w:val="00ED6D01"/>
    <w:rsid w:val="00EE621C"/>
    <w:rsid w:val="00EF6975"/>
    <w:rsid w:val="00F00CAC"/>
    <w:rsid w:val="00F04908"/>
    <w:rsid w:val="00F069B6"/>
    <w:rsid w:val="00F07C2C"/>
    <w:rsid w:val="00F12D31"/>
    <w:rsid w:val="00F22671"/>
    <w:rsid w:val="00F230B0"/>
    <w:rsid w:val="00F25B15"/>
    <w:rsid w:val="00F25C0C"/>
    <w:rsid w:val="00F41BE2"/>
    <w:rsid w:val="00F50BEA"/>
    <w:rsid w:val="00F51E80"/>
    <w:rsid w:val="00F7385E"/>
    <w:rsid w:val="00F750B7"/>
    <w:rsid w:val="00F76F00"/>
    <w:rsid w:val="00F81DA6"/>
    <w:rsid w:val="00F82CDA"/>
    <w:rsid w:val="00F913B7"/>
    <w:rsid w:val="00FA1FDA"/>
    <w:rsid w:val="00FA26FC"/>
    <w:rsid w:val="00FA6A72"/>
    <w:rsid w:val="00FB1739"/>
    <w:rsid w:val="00FB232C"/>
    <w:rsid w:val="00FB5CBA"/>
    <w:rsid w:val="00FD1029"/>
    <w:rsid w:val="00FD200E"/>
    <w:rsid w:val="00FD542D"/>
    <w:rsid w:val="00FE10B6"/>
    <w:rsid w:val="00FE1793"/>
    <w:rsid w:val="00FE480B"/>
    <w:rsid w:val="00FF7953"/>
    <w:rsid w:val="34787EBA"/>
    <w:rsid w:val="44336E11"/>
    <w:rsid w:val="5AC05092"/>
    <w:rsid w:val="72D04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B514"/>
  <w15:docId w15:val="{5BE6C5E8-A2C5-4F66-B772-43AFD8AD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17D"/>
    <w:pPr>
      <w:ind w:left="720"/>
      <w:contextualSpacing/>
    </w:pPr>
  </w:style>
  <w:style w:type="paragraph" w:styleId="BalloonText">
    <w:name w:val="Balloon Text"/>
    <w:basedOn w:val="Normal"/>
    <w:link w:val="BalloonTextChar"/>
    <w:uiPriority w:val="99"/>
    <w:semiHidden/>
    <w:unhideWhenUsed/>
    <w:rsid w:val="0035617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5617D"/>
    <w:rPr>
      <w:rFonts w:ascii="Tahoma" w:hAnsi="Tahoma"/>
      <w:sz w:val="16"/>
      <w:szCs w:val="16"/>
    </w:rPr>
  </w:style>
  <w:style w:type="paragraph" w:styleId="Header">
    <w:name w:val="header"/>
    <w:basedOn w:val="Normal"/>
    <w:link w:val="HeaderChar"/>
    <w:uiPriority w:val="99"/>
    <w:unhideWhenUsed/>
    <w:rsid w:val="00356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17D"/>
  </w:style>
  <w:style w:type="paragraph" w:styleId="Footer">
    <w:name w:val="footer"/>
    <w:basedOn w:val="Normal"/>
    <w:link w:val="FooterChar"/>
    <w:uiPriority w:val="99"/>
    <w:unhideWhenUsed/>
    <w:rsid w:val="00356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17D"/>
  </w:style>
  <w:style w:type="character" w:styleId="CommentReference">
    <w:name w:val="annotation reference"/>
    <w:basedOn w:val="DefaultParagraphFont"/>
    <w:uiPriority w:val="99"/>
    <w:semiHidden/>
    <w:unhideWhenUsed/>
    <w:rsid w:val="00937D5C"/>
    <w:rPr>
      <w:sz w:val="16"/>
      <w:szCs w:val="16"/>
    </w:rPr>
  </w:style>
  <w:style w:type="paragraph" w:styleId="CommentText">
    <w:name w:val="annotation text"/>
    <w:basedOn w:val="Normal"/>
    <w:link w:val="CommentTextChar"/>
    <w:uiPriority w:val="99"/>
    <w:unhideWhenUsed/>
    <w:rsid w:val="00937D5C"/>
    <w:pPr>
      <w:spacing w:line="240" w:lineRule="auto"/>
    </w:pPr>
    <w:rPr>
      <w:sz w:val="20"/>
      <w:szCs w:val="20"/>
    </w:rPr>
  </w:style>
  <w:style w:type="character" w:customStyle="1" w:styleId="CommentTextChar">
    <w:name w:val="Comment Text Char"/>
    <w:basedOn w:val="DefaultParagraphFont"/>
    <w:link w:val="CommentText"/>
    <w:uiPriority w:val="99"/>
    <w:rsid w:val="00937D5C"/>
    <w:rPr>
      <w:sz w:val="20"/>
      <w:szCs w:val="20"/>
    </w:rPr>
  </w:style>
  <w:style w:type="paragraph" w:styleId="CommentSubject">
    <w:name w:val="annotation subject"/>
    <w:basedOn w:val="CommentText"/>
    <w:next w:val="CommentText"/>
    <w:link w:val="CommentSubjectChar"/>
    <w:uiPriority w:val="99"/>
    <w:semiHidden/>
    <w:unhideWhenUsed/>
    <w:rsid w:val="00937D5C"/>
    <w:rPr>
      <w:b/>
      <w:bCs/>
    </w:rPr>
  </w:style>
  <w:style w:type="character" w:customStyle="1" w:styleId="CommentSubjectChar">
    <w:name w:val="Comment Subject Char"/>
    <w:basedOn w:val="CommentTextChar"/>
    <w:link w:val="CommentSubject"/>
    <w:uiPriority w:val="99"/>
    <w:semiHidden/>
    <w:rsid w:val="00937D5C"/>
    <w:rPr>
      <w:b/>
      <w:bCs/>
      <w:sz w:val="20"/>
      <w:szCs w:val="20"/>
    </w:rPr>
  </w:style>
  <w:style w:type="table" w:styleId="TableGrid">
    <w:name w:val="Table Grid"/>
    <w:basedOn w:val="TableNormal"/>
    <w:uiPriority w:val="59"/>
    <w:rsid w:val="00E5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604"/>
    <w:rPr>
      <w:sz w:val="20"/>
      <w:szCs w:val="20"/>
    </w:rPr>
  </w:style>
  <w:style w:type="character" w:styleId="FootnoteReference">
    <w:name w:val="footnote reference"/>
    <w:basedOn w:val="DefaultParagraphFont"/>
    <w:uiPriority w:val="99"/>
    <w:semiHidden/>
    <w:unhideWhenUsed/>
    <w:rsid w:val="001C2604"/>
    <w:rPr>
      <w:vertAlign w:val="superscript"/>
    </w:rPr>
  </w:style>
  <w:style w:type="character" w:styleId="Hyperlink">
    <w:name w:val="Hyperlink"/>
    <w:basedOn w:val="DefaultParagraphFont"/>
    <w:uiPriority w:val="99"/>
    <w:unhideWhenUsed/>
    <w:rsid w:val="001C2604"/>
    <w:rPr>
      <w:color w:val="0000FF" w:themeColor="hyperlink"/>
      <w:u w:val="single"/>
    </w:rPr>
  </w:style>
  <w:style w:type="character" w:customStyle="1" w:styleId="UnresolvedMention1">
    <w:name w:val="Unresolved Mention1"/>
    <w:basedOn w:val="DefaultParagraphFont"/>
    <w:uiPriority w:val="99"/>
    <w:semiHidden/>
    <w:unhideWhenUsed/>
    <w:rsid w:val="001C2604"/>
    <w:rPr>
      <w:color w:val="605E5C"/>
      <w:shd w:val="clear" w:color="auto" w:fill="E1DFDD"/>
    </w:rPr>
  </w:style>
  <w:style w:type="character" w:styleId="UnresolvedMention">
    <w:name w:val="Unresolved Mention"/>
    <w:basedOn w:val="DefaultParagraphFont"/>
    <w:uiPriority w:val="99"/>
    <w:semiHidden/>
    <w:unhideWhenUsed/>
    <w:rsid w:val="00644956"/>
    <w:rPr>
      <w:color w:val="605E5C"/>
      <w:shd w:val="clear" w:color="auto" w:fill="E1DFDD"/>
    </w:rPr>
  </w:style>
  <w:style w:type="character" w:styleId="FollowedHyperlink">
    <w:name w:val="FollowedHyperlink"/>
    <w:basedOn w:val="DefaultParagraphFont"/>
    <w:uiPriority w:val="99"/>
    <w:semiHidden/>
    <w:unhideWhenUsed/>
    <w:rsid w:val="00644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08467">
      <w:bodyDiv w:val="1"/>
      <w:marLeft w:val="0"/>
      <w:marRight w:val="0"/>
      <w:marTop w:val="0"/>
      <w:marBottom w:val="0"/>
      <w:divBdr>
        <w:top w:val="none" w:sz="0" w:space="0" w:color="auto"/>
        <w:left w:val="none" w:sz="0" w:space="0" w:color="auto"/>
        <w:bottom w:val="none" w:sz="0" w:space="0" w:color="auto"/>
        <w:right w:val="none" w:sz="0" w:space="0" w:color="auto"/>
      </w:divBdr>
    </w:div>
    <w:div w:id="13931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4/23/part/1" TargetMode="External"/><Relationship Id="rId2" Type="http://schemas.openxmlformats.org/officeDocument/2006/relationships/hyperlink" Target="http://www.legislation.gov.uk/uksi/2013/259/contents/made" TargetMode="External"/><Relationship Id="rId1" Type="http://schemas.openxmlformats.org/officeDocument/2006/relationships/hyperlink" Target="http://www.legislation.gov.uk/ukpga/2012/7/contents/enacted" TargetMode="External"/><Relationship Id="rId4" Type="http://schemas.openxmlformats.org/officeDocument/2006/relationships/hyperlink" Target="https://ico.org.uk/media/for-organisations/documents/1061/anonymisation-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BC4DE5A78504980CBF901866FEF60" ma:contentTypeVersion="9" ma:contentTypeDescription="Create a new document." ma:contentTypeScope="" ma:versionID="d6867b04198c72e2443947d216232e5c">
  <xsd:schema xmlns:xsd="http://www.w3.org/2001/XMLSchema" xmlns:xs="http://www.w3.org/2001/XMLSchema" xmlns:p="http://schemas.microsoft.com/office/2006/metadata/properties" xmlns:ns3="614ccbd7-6bfa-4e16-8c25-0f836ddf13ad" xmlns:ns4="ce6c1d1e-d31b-49d2-9090-8a20922b671a" targetNamespace="http://schemas.microsoft.com/office/2006/metadata/properties" ma:root="true" ma:fieldsID="f0f7e9b2a048784fdcbd0d032f55ea70" ns3:_="" ns4:_="">
    <xsd:import namespace="614ccbd7-6bfa-4e16-8c25-0f836ddf13ad"/>
    <xsd:import namespace="ce6c1d1e-d31b-49d2-9090-8a20922b67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ccbd7-6bfa-4e16-8c25-0f836ddf13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c1d1e-d31b-49d2-9090-8a20922b67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9207F-6809-4686-B5ED-33E4E489BA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235AF-6EFE-411C-88EA-0A3861C9C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ccbd7-6bfa-4e16-8c25-0f836ddf13ad"/>
    <ds:schemaRef ds:uri="ce6c1d1e-d31b-49d2-9090-8a20922b6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149A7-2860-4686-95BA-330D1AC634D9}">
  <ds:schemaRefs>
    <ds:schemaRef ds:uri="http://schemas.openxmlformats.org/officeDocument/2006/bibliography"/>
  </ds:schemaRefs>
</ds:datastoreItem>
</file>

<file path=customXml/itemProps4.xml><?xml version="1.0" encoding="utf-8"?>
<ds:datastoreItem xmlns:ds="http://schemas.openxmlformats.org/officeDocument/2006/customXml" ds:itemID="{50D2014F-9A8C-4934-B4B7-B2459F67A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13181</CharactersWithSpaces>
  <SharedDoc>false</SharedDoc>
  <HLinks>
    <vt:vector size="18" baseType="variant">
      <vt:variant>
        <vt:i4>6291577</vt:i4>
      </vt:variant>
      <vt:variant>
        <vt:i4>6</vt:i4>
      </vt:variant>
      <vt:variant>
        <vt:i4>0</vt:i4>
      </vt:variant>
      <vt:variant>
        <vt:i4>5</vt:i4>
      </vt:variant>
      <vt:variant>
        <vt:lpwstr>http://www.legislation.gov.uk/ukpga/2014/23/part/1</vt:lpwstr>
      </vt:variant>
      <vt:variant>
        <vt:lpwstr/>
      </vt:variant>
      <vt:variant>
        <vt:i4>4522076</vt:i4>
      </vt:variant>
      <vt:variant>
        <vt:i4>3</vt:i4>
      </vt:variant>
      <vt:variant>
        <vt:i4>0</vt:i4>
      </vt:variant>
      <vt:variant>
        <vt:i4>5</vt:i4>
      </vt:variant>
      <vt:variant>
        <vt:lpwstr>http://www.legislation.gov.uk/uksi/2013/259/contents/made</vt:lpwstr>
      </vt:variant>
      <vt:variant>
        <vt:lpwstr/>
      </vt:variant>
      <vt:variant>
        <vt:i4>3342398</vt:i4>
      </vt:variant>
      <vt:variant>
        <vt:i4>0</vt:i4>
      </vt:variant>
      <vt:variant>
        <vt:i4>0</vt:i4>
      </vt:variant>
      <vt:variant>
        <vt:i4>5</vt:i4>
      </vt:variant>
      <vt:variant>
        <vt:lpwstr>http://www.legislation.gov.uk/ukpga/2012/7/contents/enacted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Awopegba, Ifeoluwa</dc:creator>
  <cp:keywords/>
  <cp:lastModifiedBy>James Brown</cp:lastModifiedBy>
  <cp:revision>1</cp:revision>
  <cp:lastPrinted>2019-08-28T07:57:00Z</cp:lastPrinted>
  <dcterms:created xsi:type="dcterms:W3CDTF">2021-05-25T14:52:00Z</dcterms:created>
  <dcterms:modified xsi:type="dcterms:W3CDTF">2021-05-25T14:52:00Z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0x010100ECFBC4DE5A78504980CBF901866FEF60</vt:lpwstr>
  </property>
  <property fmtid="{D5CDD505-2E9C-101B-9397-08002B2CF9AE}" pid="3" name="Order">
    <vt:r8>3353600</vt:r8>
  </property>
  <property fmtid="{D5CDD505-2E9C-101B-9397-08002B2CF9AE}" pid="4" name="_dlc_DocIdItemGuid">
    <vt:lpwstr>a3a6b82c-f504-479d-bda8-b19bd04e7ec4</vt:lpwstr>
  </property>
  <property fmtid="{D5CDD505-2E9C-101B-9397-08002B2CF9AE}" pid="5" name="_dlc_policyId">
    <vt:lpwstr>0x010100CE61D9DC7AFC6844B595FD0A55B75DF7|-2054357789</vt:lpwstr>
  </property>
  <property fmtid="{D5CDD505-2E9C-101B-9397-08002B2CF9AE}" pid="6"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7" name="InformationType">
    <vt:lpwstr>14;#Document|6113f30c-7b54-4978-b917-a373efb61b62</vt:lpwstr>
  </property>
  <property fmtid="{D5CDD505-2E9C-101B-9397-08002B2CF9AE}" pid="8" name="PortfolioCode">
    <vt:lpwstr/>
  </property>
  <property fmtid="{D5CDD505-2E9C-101B-9397-08002B2CF9AE}" pid="9" name="AuthorIds_UIVersion_512">
    <vt:lpwstr>204</vt:lpwstr>
  </property>
  <property fmtid="{D5CDD505-2E9C-101B-9397-08002B2CF9AE}" pid="10" name="e076e489fa624670a6d5030aa6510568">
    <vt:lpwstr>Document|6113f30c-7b54-4978-b917-a373efb61b62</vt:lpwstr>
  </property>
  <property fmtid="{D5CDD505-2E9C-101B-9397-08002B2CF9AE}" pid="11" name="TaxCatchAll">
    <vt:lpwstr>4;#Document|6113f30c-7b54-4978-b917-a373efb61b62</vt:lpwstr>
  </property>
  <property fmtid="{D5CDD505-2E9C-101B-9397-08002B2CF9AE}" pid="12" name="i8502cb9d1b74c4f9e1ea45824336350">
    <vt:lpwstr/>
  </property>
</Properties>
</file>